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F9C29" w14:textId="46C637C6" w:rsidR="00074C36" w:rsidRPr="00074C36" w:rsidRDefault="00074C36" w:rsidP="00074C36">
      <w:pPr>
        <w:widowControl/>
        <w:tabs>
          <w:tab w:val="left" w:pos="9214"/>
        </w:tabs>
        <w:suppressAutoHyphens/>
        <w:spacing w:before="0" w:after="0"/>
        <w:ind w:left="0" w:right="0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b/>
          <w:color w:val="auto"/>
          <w:sz w:val="52"/>
          <w:szCs w:val="20"/>
          <w:lang w:eastAsia="ar-SA" w:bidi="ar-SA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52"/>
          <w:szCs w:val="20"/>
          <w:lang w:eastAsia="ru-RU" w:bidi="ar-SA"/>
        </w:rPr>
        <w:drawing>
          <wp:inline distT="0" distB="0" distL="0" distR="0" wp14:anchorId="42552956" wp14:editId="474BECBF">
            <wp:extent cx="50101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3" t="23755" r="17525" b="2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BB84" w14:textId="77777777" w:rsidR="00074C36" w:rsidRPr="00074C36" w:rsidRDefault="00074C36" w:rsidP="00074C36">
      <w:pPr>
        <w:widowControl/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044A300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proofErr w:type="gramStart"/>
      <w:r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</w:t>
      </w:r>
      <w:proofErr w:type="gramEnd"/>
      <w:r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О С Т А Н О В Л Е Н И Е</w:t>
      </w:r>
    </w:p>
    <w:p w14:paraId="542E0DFE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14:paraId="05DB9EB2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АДМИНИСТРАЦИИ СЕЛЬСКОГО ПОСЕЛЕНИЯ</w:t>
      </w:r>
    </w:p>
    <w:p w14:paraId="5563C8D6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НИЖНЕМАТРЕНСКИЙ СЕЛЬСОВЕТ</w:t>
      </w:r>
    </w:p>
    <w:p w14:paraId="701CA017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Добринского муниципального района Липецкой области</w:t>
      </w:r>
    </w:p>
    <w:p w14:paraId="15369735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6A5381AD" w14:textId="5850E029" w:rsidR="00074C36" w:rsidRPr="00074C36" w:rsidRDefault="00074C36" w:rsidP="00074C36">
      <w:pPr>
        <w:widowControl/>
        <w:tabs>
          <w:tab w:val="left" w:pos="142"/>
          <w:tab w:val="left" w:pos="6580"/>
        </w:tabs>
        <w:suppressAutoHyphens/>
        <w:spacing w:before="0" w:after="0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.2021г.                               </w:t>
      </w:r>
      <w:proofErr w:type="spellStart"/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</w:t>
      </w:r>
      <w:proofErr w:type="gramStart"/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.Н</w:t>
      </w:r>
      <w:proofErr w:type="gramEnd"/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ижняя</w:t>
      </w:r>
      <w:proofErr w:type="spellEnd"/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Матренка                                № 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9</w:t>
      </w:r>
    </w:p>
    <w:p w14:paraId="20A2B73F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D5CA6DC" w14:textId="77777777" w:rsidR="00074C36" w:rsidRPr="00074C36" w:rsidRDefault="00074C36" w:rsidP="00074C36">
      <w:pPr>
        <w:widowControl/>
        <w:shd w:val="clear" w:color="auto" w:fill="FFFFFF"/>
        <w:tabs>
          <w:tab w:val="left" w:pos="4147"/>
          <w:tab w:val="left" w:pos="7363"/>
        </w:tabs>
        <w:suppressAutoHyphens/>
        <w:spacing w:before="0" w:after="0"/>
        <w:ind w:left="0" w:right="0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ar-SA" w:bidi="ar-SA"/>
        </w:rPr>
      </w:pPr>
    </w:p>
    <w:p w14:paraId="20A3E354" w14:textId="2C20B1FD" w:rsidR="00C817FC" w:rsidRPr="00074C36" w:rsidRDefault="00213EBF" w:rsidP="00074C36">
      <w:pPr>
        <w:pStyle w:val="1"/>
        <w:spacing w:before="0" w:after="0"/>
        <w:ind w:left="0" w:righ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формирования и утверждения </w:t>
      </w:r>
      <w:r w:rsid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перечня объектов, </w:t>
      </w: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отношении, которых планируется </w:t>
      </w:r>
      <w:r w:rsid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</w:t>
      </w: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заключение концессионных соглашений, </w:t>
      </w:r>
      <w:r w:rsidR="00950D64"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Порядка п</w:t>
      </w: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ринятия </w:t>
      </w:r>
      <w:r w:rsid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</w:t>
      </w: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решений о заключении концессионных соглашений</w:t>
      </w:r>
    </w:p>
    <w:p w14:paraId="4A54D4C6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7396CF" w14:textId="40A45C9A" w:rsidR="00C817FC" w:rsidRPr="00D14B8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сельского поселения </w:t>
        </w:r>
        <w:r w:rsidR="002F308C">
          <w:rPr>
            <w:rFonts w:ascii="Times New Roman" w:hAnsi="Times New Roman" w:cs="Times New Roman"/>
            <w:color w:val="auto"/>
            <w:sz w:val="28"/>
            <w:szCs w:val="28"/>
          </w:rPr>
          <w:t>Нижнематренский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сельсовет,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074C3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gramEnd"/>
    </w:p>
    <w:p w14:paraId="746D45BC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92287" w14:textId="77777777" w:rsidR="00C817FC" w:rsidRPr="00D14B80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224E57CE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9F415D" w14:textId="2D242162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9B5E4E" w14:textId="30BABFDD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528642" w14:textId="5FFFD5DE" w:rsidR="00213EBF" w:rsidRPr="00213EBF" w:rsidRDefault="006D57DA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со дня его обнародования.</w:t>
      </w:r>
    </w:p>
    <w:p w14:paraId="4CCB7790" w14:textId="012B50CA" w:rsidR="00C817FC" w:rsidRPr="00D14B80" w:rsidRDefault="006D57DA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14:paraId="34B6A58E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FA150C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4A71F2" w14:textId="13021121" w:rsidR="00FB4155" w:rsidRPr="00D14B80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сельского поселения</w:t>
      </w:r>
    </w:p>
    <w:p w14:paraId="74B9BFB5" w14:textId="6B402B63" w:rsidR="00FB4155" w:rsidRPr="00D14B80" w:rsidRDefault="002F308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Нижнематренский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сельсовет                                                     </w:t>
      </w:r>
      <w:r w:rsidR="00074C36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В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.В. </w:t>
      </w:r>
      <w:r w:rsidR="00074C36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Батышкин</w:t>
      </w:r>
    </w:p>
    <w:p w14:paraId="241BACEB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B7515E2" w14:textId="77777777"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4C5675F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41B839A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E94677D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EC04757" w14:textId="77777777" w:rsidR="00684E57" w:rsidRPr="00D14B80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2A37CF0" w14:textId="77777777" w:rsidR="00044814" w:rsidRDefault="0004481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7CD70F9" w14:textId="77777777" w:rsidR="00074C36" w:rsidRDefault="00074C36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F73CB9C" w14:textId="77777777" w:rsidR="00074C36" w:rsidRPr="00D14B80" w:rsidRDefault="00074C36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17DBEB5" w14:textId="77777777" w:rsidR="00684E57" w:rsidRPr="002F308C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AED5C3E" w14:textId="70DE52B1" w:rsidR="00FB4155" w:rsidRPr="002F308C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14:paraId="73CC4EAA" w14:textId="77777777" w:rsidR="00FB4155" w:rsidRPr="00D14B80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14:paraId="585700A1" w14:textId="77777777" w:rsidR="00074C36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14:paraId="76CA04C4" w14:textId="1CBFFBFA" w:rsidR="00FB4155" w:rsidRPr="00D14B80" w:rsidRDefault="002F308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Нижнематренский</w:t>
      </w:r>
      <w:r w:rsidR="00153F70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 </w:t>
      </w:r>
    </w:p>
    <w:p w14:paraId="4AAEAA4C" w14:textId="403D0E68" w:rsidR="00C817FC" w:rsidRPr="00D14B80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06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г. № 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39</w:t>
      </w:r>
    </w:p>
    <w:p w14:paraId="6E5E6C7B" w14:textId="77777777"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D64DC00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1158B043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126EC007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C97D2C" w14:textId="7D21CBAD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14:paraId="75D3D666" w14:textId="68606E1A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14:paraId="39EBBC11" w14:textId="66878F69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14:paraId="239ABDA1" w14:textId="52CB9107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14:paraId="0269A115" w14:textId="24F111C5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14:paraId="29556312" w14:textId="28B7A68A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14:paraId="4BC6651C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21BD2A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A49209" w14:textId="77777777" w:rsidR="00331B21" w:rsidRPr="00D14B80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9805B8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206924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6E6950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CAF6BC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0D1929" w14:textId="234FC9E4"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>Приложение</w:t>
      </w:r>
      <w:r w:rsidR="00074C36">
        <w:rPr>
          <w:rFonts w:ascii="Times New Roman" w:hAnsi="Times New Roman" w:cs="Times New Roman"/>
          <w:color w:val="auto"/>
        </w:rPr>
        <w:t xml:space="preserve"> </w:t>
      </w:r>
      <w:r w:rsidRPr="00331B21">
        <w:rPr>
          <w:rFonts w:ascii="Times New Roman" w:hAnsi="Times New Roman" w:cs="Times New Roman"/>
          <w:color w:val="auto"/>
        </w:rPr>
        <w:t xml:space="preserve">к Порядку </w:t>
      </w:r>
    </w:p>
    <w:p w14:paraId="17062415" w14:textId="0B617EE1"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>формирования и</w:t>
      </w:r>
      <w:r w:rsidR="00074C36">
        <w:rPr>
          <w:rFonts w:ascii="Times New Roman" w:hAnsi="Times New Roman" w:cs="Times New Roman"/>
          <w:color w:val="auto"/>
        </w:rPr>
        <w:t xml:space="preserve"> </w:t>
      </w:r>
      <w:r w:rsidRPr="00331B21">
        <w:rPr>
          <w:rFonts w:ascii="Times New Roman" w:hAnsi="Times New Roman" w:cs="Times New Roman"/>
          <w:color w:val="auto"/>
        </w:rPr>
        <w:t xml:space="preserve">утверждения перечня объектов, </w:t>
      </w:r>
    </w:p>
    <w:p w14:paraId="44CA9B52" w14:textId="4C86312B" w:rsidR="00331B21" w:rsidRPr="00D14B80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</w:t>
      </w:r>
      <w:proofErr w:type="gramStart"/>
      <w:r>
        <w:rPr>
          <w:rFonts w:ascii="Times New Roman" w:hAnsi="Times New Roman" w:cs="Times New Roman"/>
          <w:color w:val="auto"/>
        </w:rPr>
        <w:t>отношении</w:t>
      </w:r>
      <w:proofErr w:type="gramEnd"/>
      <w:r w:rsidR="00331B21" w:rsidRPr="00331B21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14:paraId="4A62AD81" w14:textId="2BB5831D" w:rsidR="00331B21" w:rsidRPr="00331B21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14:paraId="46A6FF03" w14:textId="77777777" w:rsid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64D357C" w14:textId="77777777" w:rsidR="00074C36" w:rsidRPr="00331B21" w:rsidRDefault="00074C36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F91E511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14:paraId="6B0D81E2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14:paraId="4BAC2AA0" w14:textId="77777777"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14:paraId="18D341BE" w14:textId="77777777" w:rsidTr="00604F72">
        <w:tc>
          <w:tcPr>
            <w:tcW w:w="667" w:type="dxa"/>
          </w:tcPr>
          <w:p w14:paraId="4B4ADE48" w14:textId="5A274A4C"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1937" w:type="dxa"/>
          </w:tcPr>
          <w:p w14:paraId="123E5DDB" w14:textId="540287B5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14:paraId="7DA34B09" w14:textId="36515B89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14:paraId="7CB31E2A" w14:textId="13C827FD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14:paraId="7C82861C" w14:textId="0B66F3B3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14:paraId="365FEB51" w14:textId="4634DAC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14:paraId="435CE469" w14:textId="77777777" w:rsidTr="00604F72">
        <w:tc>
          <w:tcPr>
            <w:tcW w:w="667" w:type="dxa"/>
          </w:tcPr>
          <w:p w14:paraId="7B8DDC27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C43C4F9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EE8413A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733603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F1B0D76" w14:textId="7E99392D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14:paraId="5BE034F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817F27D" w14:textId="77777777" w:rsidR="00C24BFA" w:rsidRPr="00D14B80" w:rsidRDefault="00C24BFA" w:rsidP="00C24BFA">
      <w:pPr>
        <w:pStyle w:val="a0"/>
        <w:rPr>
          <w:color w:val="auto"/>
        </w:rPr>
      </w:pPr>
    </w:p>
    <w:p w14:paraId="305A2B83" w14:textId="77777777" w:rsidR="00604F72" w:rsidRPr="00D14B80" w:rsidRDefault="00604F72" w:rsidP="00C24BFA">
      <w:pPr>
        <w:pStyle w:val="a0"/>
        <w:rPr>
          <w:color w:val="auto"/>
        </w:rPr>
      </w:pPr>
    </w:p>
    <w:p w14:paraId="0E441BA2" w14:textId="77777777" w:rsidR="00604F72" w:rsidRPr="00D14B80" w:rsidRDefault="00604F72" w:rsidP="00C24BFA">
      <w:pPr>
        <w:pStyle w:val="a0"/>
        <w:rPr>
          <w:color w:val="auto"/>
        </w:rPr>
      </w:pPr>
    </w:p>
    <w:p w14:paraId="7A67DF67" w14:textId="77777777" w:rsidR="00604F72" w:rsidRPr="00D14B80" w:rsidRDefault="00604F72" w:rsidP="00C24BFA">
      <w:pPr>
        <w:pStyle w:val="a0"/>
        <w:rPr>
          <w:color w:val="auto"/>
        </w:rPr>
      </w:pPr>
    </w:p>
    <w:p w14:paraId="7DF262F5" w14:textId="77777777" w:rsidR="00604F72" w:rsidRPr="00D14B80" w:rsidRDefault="00604F72" w:rsidP="00C24BFA">
      <w:pPr>
        <w:pStyle w:val="a0"/>
        <w:rPr>
          <w:color w:val="auto"/>
        </w:rPr>
      </w:pPr>
    </w:p>
    <w:p w14:paraId="56CB5600" w14:textId="77777777" w:rsidR="00604F72" w:rsidRPr="00D14B80" w:rsidRDefault="00604F72" w:rsidP="00C24BFA">
      <w:pPr>
        <w:pStyle w:val="a0"/>
        <w:rPr>
          <w:color w:val="auto"/>
        </w:rPr>
      </w:pPr>
    </w:p>
    <w:p w14:paraId="51AF27B9" w14:textId="77777777" w:rsidR="00604F72" w:rsidRPr="00D14B80" w:rsidRDefault="00604F72" w:rsidP="00C24BFA">
      <w:pPr>
        <w:pStyle w:val="a0"/>
        <w:rPr>
          <w:color w:val="auto"/>
        </w:rPr>
      </w:pPr>
    </w:p>
    <w:p w14:paraId="4793C95C" w14:textId="77777777" w:rsidR="00604F72" w:rsidRPr="00D14B80" w:rsidRDefault="00604F72" w:rsidP="00C24BFA">
      <w:pPr>
        <w:pStyle w:val="a0"/>
        <w:rPr>
          <w:color w:val="auto"/>
        </w:rPr>
      </w:pPr>
    </w:p>
    <w:p w14:paraId="0BA0B082" w14:textId="77777777" w:rsidR="00604F72" w:rsidRPr="00D14B80" w:rsidRDefault="00604F72" w:rsidP="00C24BFA">
      <w:pPr>
        <w:pStyle w:val="a0"/>
        <w:rPr>
          <w:color w:val="auto"/>
        </w:rPr>
      </w:pPr>
    </w:p>
    <w:p w14:paraId="2EA015CA" w14:textId="77777777" w:rsidR="00604F72" w:rsidRPr="00D14B80" w:rsidRDefault="00604F72" w:rsidP="00C24BFA">
      <w:pPr>
        <w:pStyle w:val="a0"/>
        <w:rPr>
          <w:color w:val="auto"/>
        </w:rPr>
      </w:pPr>
    </w:p>
    <w:p w14:paraId="4E70A074" w14:textId="77777777" w:rsidR="00604F72" w:rsidRPr="00D14B80" w:rsidRDefault="00604F72" w:rsidP="00C24BFA">
      <w:pPr>
        <w:pStyle w:val="a0"/>
        <w:rPr>
          <w:color w:val="auto"/>
        </w:rPr>
      </w:pPr>
    </w:p>
    <w:p w14:paraId="51C85336" w14:textId="77777777" w:rsidR="00604F72" w:rsidRPr="00D14B80" w:rsidRDefault="00604F72" w:rsidP="00C24BFA">
      <w:pPr>
        <w:pStyle w:val="a0"/>
        <w:rPr>
          <w:color w:val="auto"/>
        </w:rPr>
      </w:pPr>
    </w:p>
    <w:p w14:paraId="0D2D2CFD" w14:textId="77777777" w:rsidR="00604F72" w:rsidRPr="00D14B80" w:rsidRDefault="00604F72" w:rsidP="00C24BFA">
      <w:pPr>
        <w:pStyle w:val="a0"/>
        <w:rPr>
          <w:color w:val="auto"/>
        </w:rPr>
      </w:pPr>
    </w:p>
    <w:p w14:paraId="1923AEBE" w14:textId="77777777" w:rsidR="00604F72" w:rsidRPr="00D14B80" w:rsidRDefault="00604F72" w:rsidP="00C24BFA">
      <w:pPr>
        <w:pStyle w:val="a0"/>
        <w:rPr>
          <w:color w:val="auto"/>
        </w:rPr>
      </w:pPr>
    </w:p>
    <w:p w14:paraId="08F377C8" w14:textId="77777777" w:rsidR="00604F72" w:rsidRPr="00D14B80" w:rsidRDefault="00604F72" w:rsidP="00C24BFA">
      <w:pPr>
        <w:pStyle w:val="a0"/>
        <w:rPr>
          <w:color w:val="auto"/>
        </w:rPr>
      </w:pPr>
    </w:p>
    <w:p w14:paraId="7F46F571" w14:textId="77777777" w:rsidR="00604F72" w:rsidRPr="00D14B80" w:rsidRDefault="00604F72" w:rsidP="00C24BFA">
      <w:pPr>
        <w:pStyle w:val="a0"/>
        <w:rPr>
          <w:color w:val="auto"/>
        </w:rPr>
      </w:pPr>
    </w:p>
    <w:p w14:paraId="6042DC52" w14:textId="77777777" w:rsidR="00604F72" w:rsidRPr="00D14B80" w:rsidRDefault="00604F72" w:rsidP="00C24BFA">
      <w:pPr>
        <w:pStyle w:val="a0"/>
        <w:rPr>
          <w:color w:val="auto"/>
        </w:rPr>
      </w:pPr>
    </w:p>
    <w:p w14:paraId="000B21C4" w14:textId="77777777" w:rsidR="00604F72" w:rsidRPr="00D14B80" w:rsidRDefault="00604F72" w:rsidP="00C24BFA">
      <w:pPr>
        <w:pStyle w:val="a0"/>
        <w:rPr>
          <w:color w:val="auto"/>
        </w:rPr>
      </w:pPr>
    </w:p>
    <w:p w14:paraId="06713074" w14:textId="512BE824"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14:paraId="3F5C97E6" w14:textId="77777777"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14:paraId="4B09B548" w14:textId="77777777" w:rsidR="00074C36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14:paraId="5E3C3083" w14:textId="4E7C5FD3" w:rsidR="00604F72" w:rsidRPr="00D14B80" w:rsidRDefault="002F308C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Нижнематренский</w:t>
      </w:r>
      <w:r w:rsidR="00604F72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 </w:t>
      </w:r>
    </w:p>
    <w:p w14:paraId="15BCC8D4" w14:textId="60A08138"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06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F308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F308C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г. № 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39</w:t>
      </w:r>
    </w:p>
    <w:p w14:paraId="6F03D40C" w14:textId="77777777"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79EBF09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40137404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14:paraId="45569CB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C5E09C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14:paraId="10467DE4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5856A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701928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14:paraId="625DEAC6" w14:textId="1917F8B6" w:rsidR="00604F72" w:rsidRPr="00AB53C3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администрация сельского поселения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области.</w:t>
      </w:r>
    </w:p>
    <w:p w14:paraId="4804A99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два и более указанных юридических лиц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5E9C7E9" w14:textId="56046054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14:paraId="24A7243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14:paraId="3B2615E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3F22D4F3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4651E429" w14:textId="2066CC4A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концедента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6503130" w14:textId="4EAAC5D8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0874DE37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концеденту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14:paraId="3D7BE025" w14:textId="067DA94B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5452BFE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598362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61D247" w14:textId="18005844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b/>
          <w:color w:val="auto"/>
          <w:sz w:val="28"/>
          <w:szCs w:val="28"/>
        </w:rPr>
        <w:t>Нижнематренский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b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  <w:r w:rsidR="00445B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bookmarkStart w:id="0" w:name="_GoBack"/>
      <w:bookmarkEnd w:id="0"/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>Липецкой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2CCC76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28B117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14:paraId="750AC3E9" w14:textId="6F1EB1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14:paraId="390AA766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14:paraId="68C4C127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14:paraId="5F32F1D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14:paraId="4074F543" w14:textId="07857B46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14:paraId="1AA516E4" w14:textId="77777777" w:rsidR="00222211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proofErr w:type="gramStart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182884EE" w14:textId="4A6BF2B5" w:rsidR="00604F72" w:rsidRPr="00604F72" w:rsidRDefault="007C1D85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Заключение о возможности и целесообразности передачи в концессию имущества, право </w:t>
      </w:r>
      <w:proofErr w:type="gramStart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принимается решением рабочей группы на основании оценок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возможности и целесообразности перед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14:paraId="65804FE9" w14:textId="026B10CA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</w:t>
      </w:r>
      <w:proofErr w:type="gramStart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в концессию готовится проект постановления администрации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14:paraId="6AF76082" w14:textId="3AF8176B"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14:paraId="068599DE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14:paraId="3452431A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14:paraId="3769F927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14:paraId="3BB23BE5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14:paraId="0686995B" w14:textId="3FB08128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74B5E743" w14:textId="59A46711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0175DFD1" w14:textId="586CE423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20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22180CC0" w14:textId="092DDCE7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14:paraId="0FADE198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B439E8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1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2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14:paraId="491E458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804F01" w14:textId="2A4AE75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Лица, соответствующие требованиям Федерального закона </w:t>
      </w:r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21.05.2005 </w:t>
        </w:r>
        <w:r w:rsidR="00222211">
          <w:rPr>
            <w:rFonts w:ascii="Times New Roman" w:hAnsi="Times New Roman" w:cs="Times New Roman"/>
            <w:color w:val="auto"/>
            <w:sz w:val="28"/>
            <w:szCs w:val="28"/>
          </w:rPr>
          <w:t xml:space="preserve">           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  <w:proofErr w:type="gramEnd"/>
    </w:p>
    <w:p w14:paraId="295DE568" w14:textId="38639EF9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14:paraId="1236A019" w14:textId="1C937619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14:paraId="54A8A657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14:paraId="6502277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1EB1654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29B06286" w14:textId="684A3521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94DFE7D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14:paraId="168785ED" w14:textId="7028F5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682997DB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B3A6B2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proofErr w:type="gramStart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 за</w:t>
      </w:r>
      <w:proofErr w:type="gramEnd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исполнением концессионных соглашений</w:t>
      </w:r>
    </w:p>
    <w:p w14:paraId="6D0EB0FC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A8A7D5" w14:textId="4E3AAF6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14:paraId="00EAC939" w14:textId="77777777"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>
      <w:headerReference w:type="default" r:id="rId29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F9F7" w14:textId="77777777" w:rsidR="00BB3DC8" w:rsidRDefault="00BB3DC8" w:rsidP="00A34F6C">
      <w:pPr>
        <w:spacing w:before="0" w:after="0"/>
      </w:pPr>
      <w:r>
        <w:separator/>
      </w:r>
    </w:p>
  </w:endnote>
  <w:endnote w:type="continuationSeparator" w:id="0">
    <w:p w14:paraId="21F05643" w14:textId="77777777" w:rsidR="00BB3DC8" w:rsidRDefault="00BB3DC8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9CC8" w14:textId="77777777" w:rsidR="00BB3DC8" w:rsidRDefault="00BB3DC8" w:rsidP="00A34F6C">
      <w:pPr>
        <w:spacing w:before="0" w:after="0"/>
      </w:pPr>
      <w:r>
        <w:separator/>
      </w:r>
    </w:p>
  </w:footnote>
  <w:footnote w:type="continuationSeparator" w:id="0">
    <w:p w14:paraId="631983EE" w14:textId="77777777" w:rsidR="00BB3DC8" w:rsidRDefault="00BB3DC8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4280" w14:textId="0A369E0C"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7FC"/>
    <w:rsid w:val="000009C2"/>
    <w:rsid w:val="00044814"/>
    <w:rsid w:val="00074C36"/>
    <w:rsid w:val="0015236B"/>
    <w:rsid w:val="00153F70"/>
    <w:rsid w:val="001B0432"/>
    <w:rsid w:val="001C0E14"/>
    <w:rsid w:val="00213EBF"/>
    <w:rsid w:val="00222211"/>
    <w:rsid w:val="002F308C"/>
    <w:rsid w:val="003106E1"/>
    <w:rsid w:val="00331B21"/>
    <w:rsid w:val="003E73E4"/>
    <w:rsid w:val="00445B13"/>
    <w:rsid w:val="0056530A"/>
    <w:rsid w:val="00604F72"/>
    <w:rsid w:val="00684E57"/>
    <w:rsid w:val="006D57DA"/>
    <w:rsid w:val="006F5740"/>
    <w:rsid w:val="007977A6"/>
    <w:rsid w:val="007C1D85"/>
    <w:rsid w:val="008023B4"/>
    <w:rsid w:val="00856CDA"/>
    <w:rsid w:val="00950D64"/>
    <w:rsid w:val="00967033"/>
    <w:rsid w:val="009A453C"/>
    <w:rsid w:val="009A7F50"/>
    <w:rsid w:val="00A104ED"/>
    <w:rsid w:val="00A34F6C"/>
    <w:rsid w:val="00A77FCA"/>
    <w:rsid w:val="00AB53C3"/>
    <w:rsid w:val="00AB5F0B"/>
    <w:rsid w:val="00BB3DC8"/>
    <w:rsid w:val="00BB548F"/>
    <w:rsid w:val="00C02051"/>
    <w:rsid w:val="00C03FB0"/>
    <w:rsid w:val="00C24BFA"/>
    <w:rsid w:val="00C26AE9"/>
    <w:rsid w:val="00C33A5B"/>
    <w:rsid w:val="00C817FC"/>
    <w:rsid w:val="00D00CDE"/>
    <w:rsid w:val="00D06974"/>
    <w:rsid w:val="00D14B80"/>
    <w:rsid w:val="00E00587"/>
    <w:rsid w:val="00ED2BE1"/>
    <w:rsid w:val="00EE0C00"/>
    <w:rsid w:val="00F00918"/>
    <w:rsid w:val="00F51BA8"/>
    <w:rsid w:val="00F95492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ea4730e2-0388-4aee-bd89-0cbc2c54574b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ea4730e2-0388-4aee-bd89-0cbc2c54574b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yperlink" Target="http://dostup.scli.ru:8111/content/act/2dc2eb84-1baf-48dc-864f-a9a5c8df2df6.html" TargetMode="Externa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98b1079-f74d-4f2f-8a25-cf66bb53e72b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dc:description/>
  <cp:lastModifiedBy>User</cp:lastModifiedBy>
  <cp:revision>24</cp:revision>
  <cp:lastPrinted>2021-07-06T05:25:00Z</cp:lastPrinted>
  <dcterms:created xsi:type="dcterms:W3CDTF">2020-08-13T10:48:00Z</dcterms:created>
  <dcterms:modified xsi:type="dcterms:W3CDTF">2021-07-06T05:26:00Z</dcterms:modified>
  <dc:language>en-US</dc:language>
</cp:coreProperties>
</file>