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4" w:rsidRDefault="00514453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02A98" wp14:editId="696EFC15">
            <wp:extent cx="4762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D7" w:rsidRDefault="001A77D7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О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С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Т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А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Н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О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В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Л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Е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Н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И</w:t>
      </w:r>
      <w:r w:rsidR="0015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b/>
          <w:sz w:val="28"/>
          <w:szCs w:val="28"/>
        </w:rPr>
        <w:t>Е</w:t>
      </w:r>
    </w:p>
    <w:p w:rsidR="00213044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6794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</w:t>
      </w:r>
    </w:p>
    <w:p w:rsidR="00156794" w:rsidRDefault="0015679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НИЖНЕМАТРЕНСКИЙ СЕЛЬСОВЕТ</w:t>
      </w: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94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213044" w:rsidRPr="009F4A9E" w:rsidRDefault="00213044" w:rsidP="008C36CB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A515AC" w:rsidRDefault="005D583B" w:rsidP="008C3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E58">
        <w:rPr>
          <w:rFonts w:ascii="Times New Roman" w:hAnsi="Times New Roman" w:cs="Times New Roman"/>
          <w:sz w:val="28"/>
          <w:szCs w:val="28"/>
        </w:rPr>
        <w:t>4</w:t>
      </w:r>
      <w:r w:rsidR="00C84470" w:rsidRPr="00A515AC">
        <w:rPr>
          <w:rFonts w:ascii="Times New Roman" w:hAnsi="Times New Roman" w:cs="Times New Roman"/>
          <w:sz w:val="28"/>
          <w:szCs w:val="28"/>
        </w:rPr>
        <w:t>.</w:t>
      </w:r>
      <w:r w:rsidR="00940A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04E21" w:rsidRPr="00A515AC">
        <w:rPr>
          <w:rFonts w:ascii="Times New Roman" w:hAnsi="Times New Roman" w:cs="Times New Roman"/>
          <w:sz w:val="28"/>
          <w:szCs w:val="28"/>
        </w:rPr>
        <w:t>.20</w:t>
      </w:r>
      <w:r w:rsidR="00940A51">
        <w:rPr>
          <w:rFonts w:ascii="Times New Roman" w:hAnsi="Times New Roman" w:cs="Times New Roman"/>
          <w:sz w:val="28"/>
          <w:szCs w:val="28"/>
        </w:rPr>
        <w:t>20</w:t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C84470" w:rsidRPr="00A515AC">
        <w:rPr>
          <w:rFonts w:ascii="Times New Roman" w:hAnsi="Times New Roman" w:cs="Times New Roman"/>
          <w:sz w:val="28"/>
          <w:szCs w:val="28"/>
        </w:rPr>
        <w:t>г.</w:t>
      </w:r>
      <w:r w:rsidR="00A515AC" w:rsidRPr="00A515AC">
        <w:rPr>
          <w:rFonts w:ascii="Times New Roman" w:hAnsi="Times New Roman" w:cs="Times New Roman"/>
          <w:sz w:val="28"/>
          <w:szCs w:val="28"/>
        </w:rPr>
        <w:tab/>
      </w:r>
      <w:r w:rsidR="008C36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15AC" w:rsidRPr="00A515AC">
        <w:rPr>
          <w:rFonts w:ascii="Times New Roman" w:hAnsi="Times New Roman" w:cs="Times New Roman"/>
          <w:sz w:val="28"/>
          <w:szCs w:val="28"/>
        </w:rPr>
        <w:tab/>
        <w:t>с. Нижняя Матренка</w:t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213044" w:rsidRPr="00A515AC">
        <w:rPr>
          <w:rFonts w:ascii="Times New Roman" w:hAnsi="Times New Roman" w:cs="Times New Roman"/>
          <w:sz w:val="28"/>
          <w:szCs w:val="28"/>
        </w:rPr>
        <w:tab/>
      </w:r>
      <w:r w:rsidR="008C36CB"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A515AC">
        <w:rPr>
          <w:rFonts w:ascii="Times New Roman" w:hAnsi="Times New Roman" w:cs="Times New Roman"/>
          <w:sz w:val="28"/>
          <w:szCs w:val="28"/>
        </w:rPr>
        <w:t xml:space="preserve">№ </w:t>
      </w:r>
      <w:r w:rsidR="00904E21" w:rsidRPr="00A515AC">
        <w:rPr>
          <w:rFonts w:ascii="Times New Roman" w:hAnsi="Times New Roman" w:cs="Times New Roman"/>
          <w:sz w:val="28"/>
          <w:szCs w:val="28"/>
        </w:rPr>
        <w:t xml:space="preserve"> </w:t>
      </w:r>
      <w:r w:rsidR="00A03FEB">
        <w:rPr>
          <w:rFonts w:ascii="Times New Roman" w:hAnsi="Times New Roman" w:cs="Times New Roman"/>
          <w:sz w:val="28"/>
          <w:szCs w:val="28"/>
        </w:rPr>
        <w:t>4</w:t>
      </w:r>
      <w:r w:rsidR="00D47E58">
        <w:rPr>
          <w:rFonts w:ascii="Times New Roman" w:hAnsi="Times New Roman" w:cs="Times New Roman"/>
          <w:sz w:val="28"/>
          <w:szCs w:val="28"/>
        </w:rPr>
        <w:t>6</w:t>
      </w:r>
    </w:p>
    <w:p w:rsidR="006B53F3" w:rsidRPr="006B53F3" w:rsidRDefault="006B53F3" w:rsidP="006B53F3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AE" w:rsidRPr="00DA07AE" w:rsidRDefault="00DA07AE" w:rsidP="00D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Положения о рабочей группе 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                                         вопросам оказания имущественной поддержки                                             субъектам малого и среднего предпринимательства</w:t>
      </w:r>
    </w:p>
    <w:p w:rsidR="00DA07AE" w:rsidRPr="00DA07AE" w:rsidRDefault="00DA07AE" w:rsidP="0085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Нижнематренский </w:t>
      </w:r>
      <w:r w:rsidR="008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8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 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proofErr w:type="gramStart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 на  территории сельского поселения Нижнематренский сельсовет Добринского муниципального района Липецкой области, руководствуясь Уставом сельского поселения Нижнематренский сельсовет, администрация сельского поселения Нижнематренский сельсовет </w:t>
      </w:r>
      <w:proofErr w:type="gramEnd"/>
    </w:p>
    <w:p w:rsidR="0085360F" w:rsidRDefault="0085360F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AE" w:rsidRDefault="00DA07AE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07AE" w:rsidRPr="00DA07AE" w:rsidRDefault="00DA07AE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AE" w:rsidRPr="00DA07AE" w:rsidRDefault="00DA07AE" w:rsidP="00DA07AE">
      <w:pPr>
        <w:widowControl w:val="0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</w:t>
      </w:r>
      <w:r w:rsidR="0085360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r w:rsidRPr="00DA07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</w:t>
      </w:r>
      <w:r w:rsidR="0085360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</w:t>
      </w:r>
      <w:r w:rsidRPr="00DA07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поселени</w:t>
      </w:r>
      <w:r w:rsidR="0085360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Pr="00DA07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Нижнематренский сельсовет Добринского муниципального района (прилагается).</w:t>
      </w:r>
    </w:p>
    <w:p w:rsidR="00DA07AE" w:rsidRPr="00DA07AE" w:rsidRDefault="00DA07AE" w:rsidP="00DA07AE">
      <w:pPr>
        <w:widowControl w:val="0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на территории сельского поселения Нижнематренский сельсовет Добринского муниципального района.</w:t>
      </w:r>
    </w:p>
    <w:p w:rsidR="00DA07AE" w:rsidRPr="00DA07AE" w:rsidRDefault="00DA07AE" w:rsidP="00DA07AE">
      <w:pPr>
        <w:numPr>
          <w:ilvl w:val="1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Нижнематренский сельсовет.</w:t>
      </w:r>
    </w:p>
    <w:p w:rsidR="00DA07AE" w:rsidRDefault="00DA07AE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60F" w:rsidRDefault="0085360F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AE" w:rsidRDefault="00DA07AE" w:rsidP="00DA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Нижнематренский  сельсовет                                                       </w:t>
      </w:r>
      <w:proofErr w:type="spellStart"/>
      <w:r w:rsidRPr="007B29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85360F" w:rsidRDefault="0085360F" w:rsidP="00DA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0F" w:rsidRDefault="0085360F" w:rsidP="00DA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AE" w:rsidRDefault="00DA07AE" w:rsidP="00D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A07AE" w:rsidRDefault="00DA07AE" w:rsidP="00D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A07AE" w:rsidRPr="00DA07AE" w:rsidRDefault="00DA07AE" w:rsidP="00D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A07AE" w:rsidRPr="00DA07AE" w:rsidRDefault="00DA07AE" w:rsidP="00D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от 14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0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07AE" w:rsidRPr="00DA07AE" w:rsidRDefault="00DA07AE" w:rsidP="00D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AE" w:rsidRPr="00DA07AE" w:rsidRDefault="00DA07AE" w:rsidP="00DA07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A07AE" w:rsidRPr="00DA07AE" w:rsidRDefault="00DA07AE" w:rsidP="00DA07AE">
      <w:pPr>
        <w:widowControl w:val="0"/>
        <w:tabs>
          <w:tab w:val="left" w:leader="underscore" w:pos="9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Положение </w:t>
      </w:r>
    </w:p>
    <w:p w:rsidR="00DA07AE" w:rsidRDefault="00DA07AE" w:rsidP="00DA07AE">
      <w:pPr>
        <w:widowControl w:val="0"/>
        <w:tabs>
          <w:tab w:val="left" w:leader="underscore" w:pos="9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853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 территории</w:t>
      </w: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сельско</w:t>
      </w:r>
      <w:r w:rsidR="00853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</w:t>
      </w: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поселени</w:t>
      </w:r>
      <w:r w:rsidR="00853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я</w:t>
      </w: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сельсовет Добринского муниципального района </w:t>
      </w:r>
    </w:p>
    <w:p w:rsidR="0085360F" w:rsidRPr="00DA07AE" w:rsidRDefault="0085360F" w:rsidP="00DA07AE">
      <w:pPr>
        <w:widowControl w:val="0"/>
        <w:tabs>
          <w:tab w:val="left" w:leader="underscore" w:pos="9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DA07AE" w:rsidRPr="00DA07AE" w:rsidRDefault="00DA07AE" w:rsidP="00DA07A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</w:t>
      </w:r>
    </w:p>
    <w:p w:rsidR="00DA07AE" w:rsidRPr="00DA07AE" w:rsidRDefault="00DA07AE" w:rsidP="00DA07AE">
      <w:pPr>
        <w:widowControl w:val="0"/>
        <w:tabs>
          <w:tab w:val="left" w:leader="underscore" w:pos="74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среднего 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 Липецкой области (далее - рабочая группа).</w:t>
      </w:r>
    </w:p>
    <w:p w:rsidR="00DA07AE" w:rsidRPr="00DA07AE" w:rsidRDefault="00DA07AE" w:rsidP="00DA07AE">
      <w:pPr>
        <w:widowControl w:val="0"/>
        <w:tabs>
          <w:tab w:val="left" w:pos="20"/>
          <w:tab w:val="left" w:leader="underscore" w:pos="1575"/>
          <w:tab w:val="left" w:leader="underscore" w:pos="93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1.2.Рабочая группа является совещательным консультативным органом по обеспечению взаимодействия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Липецкой области», органами местного самоуправления, иными органами и организациями.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1.3.Целями деятельности рабочей группы являются: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</w:t>
      </w:r>
      <w:proofErr w:type="gramStart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-с</w:t>
      </w:r>
      <w:proofErr w:type="gramEnd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убъекты МСП)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</w:t>
      </w:r>
      <w:r w:rsidRPr="00DA07A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,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района;</w:t>
      </w:r>
    </w:p>
    <w:p w:rsidR="00DA07AE" w:rsidRPr="00DA07AE" w:rsidRDefault="00DA07AE" w:rsidP="00DA07AE">
      <w:pPr>
        <w:widowControl w:val="0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- выработка и (или) тиражирование лучших практик оказания имущественной поддержки субъектам МСП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района.</w:t>
      </w:r>
    </w:p>
    <w:p w:rsidR="00DA07AE" w:rsidRPr="00DA07AE" w:rsidRDefault="00DA07AE" w:rsidP="00DA07AE">
      <w:pPr>
        <w:widowControl w:val="0"/>
        <w:tabs>
          <w:tab w:val="left" w:pos="811"/>
          <w:tab w:val="left" w:leader="underscore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1.4.Рабочая группа </w:t>
      </w:r>
      <w:r w:rsidRPr="00DA07A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сельсовет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Добринского муниципального района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</w:t>
      </w:r>
      <w:r w:rsidRPr="00DA07A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сельском поселении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lastRenderedPageBreak/>
        <w:t>Нижнематренский</w:t>
      </w:r>
      <w:r w:rsidRPr="00DA07A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сельсовет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Добринского муниципального района Липецкой области.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1.5.Рабочая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нормативными правовыми актами администрации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сельсовет, администрации Добринского муниципального района, а также настоящим Положением.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1.6.Рабочая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Задачи и функции рабочей группы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2.1.Координация оказания имущественной поддержки субъектам МСП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DA07AE" w:rsidRPr="00DA07AE" w:rsidRDefault="00DA07AE" w:rsidP="00DA07AE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2.2.Проведение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DA07AE" w:rsidRPr="00DA07AE" w:rsidRDefault="00DA07AE" w:rsidP="00DA07AE">
      <w:pPr>
        <w:widowControl w:val="0"/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а)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находящихся в муниципальной собственности</w:t>
      </w:r>
      <w:proofErr w:type="gramStart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A07AE" w:rsidRPr="00DA07AE" w:rsidRDefault="00DA07AE" w:rsidP="00DA07AE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 Липецкой области</w:t>
      </w:r>
      <w:r w:rsidRPr="00DA07A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DA07A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органом</w:t>
      </w:r>
      <w:r w:rsidRPr="00DA07A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,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уполномоченным на проведение такого обследования;</w:t>
      </w:r>
    </w:p>
    <w:p w:rsidR="00DA07AE" w:rsidRPr="00DA07AE" w:rsidRDefault="00DA07AE" w:rsidP="00DA07AE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в)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предложений субъектов МСП, заинтересованных в получении в аренду муниципального имущества.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2.3. Выработка рекомендаций и предложений в рамках оказания имущественной поддержки субъектам МСП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района, в том числе по следующим вопросам: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а) формирование и пополнение Перечней, расширению состава имущества, вовлеченного в имущественную поддержку;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в) установлению льготных условий предоставления в аренду имущества, муниципальных преференций для субъектов МСП на территории сельского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района;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е) обеспечению информирования субъектов МСП об имущественной поддержке;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2.4.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2.5.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2.6.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Права рабочей группы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В целях осуществления задач, предусмотренных разделом 2 настоящего Положения, рабочая группа имеет право: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3.1.Рассматривать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A07AE" w:rsidRPr="00DA07AE" w:rsidRDefault="00DA07AE" w:rsidP="00DA07AE">
      <w:pPr>
        <w:widowControl w:val="0"/>
        <w:tabs>
          <w:tab w:val="left" w:pos="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proofErr w:type="gramStart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3.2.Запрашивать информацию и материалы необходимую для осуществления своей деятельности в сельском поселении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района, отделах администрации Добринского муниципального района, муниципальных учреждениях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района, общественных объединений,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Липецкой области» по вопросам, отнесенным к компетенции рабочей группы.</w:t>
      </w:r>
      <w:proofErr w:type="gramEnd"/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3.3.Привлекать к работе рабочей группы представителей заинтересованных органов исполнительной власти, органов местного самоуправления, субъектов МСП, общественных и иных организаций, а также других специалистов.</w:t>
      </w:r>
    </w:p>
    <w:p w:rsidR="00DA07AE" w:rsidRPr="00DA07AE" w:rsidRDefault="00DA07AE" w:rsidP="00DA07AE">
      <w:pPr>
        <w:widowControl w:val="0"/>
        <w:tabs>
          <w:tab w:val="left" w:pos="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3.4.Направлять органам, уполномоченным на проведение обследования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3.5.Участвовать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сельского поселения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Добринского муниципального района</w:t>
      </w:r>
      <w:r w:rsidRPr="00DA07A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,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DA07AE" w:rsidRPr="00245A56" w:rsidRDefault="00DA07AE" w:rsidP="00DA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3.6.Информировать о своей деятельности через размещение материалов в информационно-телекоммуникационной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Pr="00D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 </w:t>
      </w:r>
      <w:hyperlink r:id="rId8" w:history="1">
        <w:r w:rsidRPr="00245A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45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45A56" w:rsidRPr="00245A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245A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matss</w:t>
        </w:r>
        <w:proofErr w:type="spellEnd"/>
        <w:r w:rsidRPr="00245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5A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admdobrinka</w:t>
        </w:r>
        <w:proofErr w:type="spellEnd"/>
        <w:r w:rsidRPr="00245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5A5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45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24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7AE" w:rsidRPr="00DA07AE" w:rsidRDefault="00DA07AE" w:rsidP="00DA07AE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Порядок деятельности рабочей группы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4.1.Рабочая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4.2.В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4.3.Заседания рабочей группы проводятся в очной или очно-заочной (в том числе посредством видео-конференц-связи) форме по мере необходимости, но не реже одного раза в полугодие.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4.4.Заседания рабочей группы проводит председател</w:t>
      </w:r>
      <w:bookmarkStart w:id="0" w:name="_GoBack"/>
      <w:bookmarkEnd w:id="0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ь рабочей группы или по его поручению заместитель председателя рабочей группы.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4.5.Председатель рабочей группы: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 организует деятельность рабочей группы;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-принимает решение о времени и месте проведения заседания рабочей группы;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-утверждает повестку дня заседания рабочей группы и порядок ее работы;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-ведет заседание рабочей группы;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-определяет порядок рассмотрения вопросов на заседании рабочей группы;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-принимает решения по оперативным вопросам деятельности рабочей группы, которые возникают в ходе ее работы;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-подписывает протоколы заседания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4.6.Секретарь рабочей группы:</w:t>
      </w:r>
    </w:p>
    <w:p w:rsidR="00DA07AE" w:rsidRPr="00DA07AE" w:rsidRDefault="00DA07AE" w:rsidP="00DA07AE">
      <w:pPr>
        <w:widowControl w:val="0"/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оформляет протоколы заседаний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ведет делопроизводство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организует подготовку материалов к заседаниям рабочей группы, а также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проектов ее решений.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4.7.Члены рабочей группы: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вносят предложения по повестке дня заседания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участвуют в подготовке и принятии решений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4.8.Заседание рабочей группы считается правомочным, если на нем присутствует не менее </w:t>
      </w:r>
      <w:r w:rsidRPr="00DA07A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(2/3 или 1/2)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общего числа членов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4.9.При отсутствии кворума рабочей группы созывается повторное заседание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4.10.Члены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4.11.Члены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4.12.При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4.13.По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4.14.При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</w:r>
    </w:p>
    <w:p w:rsidR="00DA07AE" w:rsidRPr="00DA07AE" w:rsidRDefault="00DA07AE" w:rsidP="00DA07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4.15.Решения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4.16.Протокол заседания рабочей группы оформляется секретарем рабочей группы в течение 5 (пяти) рабочих дней </w:t>
      </w:r>
      <w:proofErr w:type="gramStart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проведения</w:t>
      </w:r>
      <w:proofErr w:type="gramEnd"/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заседания рабочей 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4.17.В протоколе заседания рабочей группы указываются:</w:t>
      </w:r>
    </w:p>
    <w:p w:rsidR="00DA07AE" w:rsidRPr="00DA07AE" w:rsidRDefault="00DA07AE" w:rsidP="00DA07AE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-дата, время и место проведения заседания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номер протокола;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DA07AE" w:rsidRPr="00DA07AE" w:rsidRDefault="00DA07AE" w:rsidP="00DA07AE">
      <w:pPr>
        <w:widowControl w:val="0"/>
        <w:numPr>
          <w:ilvl w:val="0"/>
          <w:numId w:val="32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4.18.К протоколу заседания рабочей группы должны быть приложены материалы, представленные на рассмотрение рабочей группы.</w:t>
      </w:r>
    </w:p>
    <w:p w:rsidR="00DA07AE" w:rsidRPr="00DA07AE" w:rsidRDefault="00DA07AE" w:rsidP="00DA07AE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Организационно-техническое обеспечение</w:t>
      </w:r>
    </w:p>
    <w:p w:rsidR="00DA07AE" w:rsidRPr="00DA07AE" w:rsidRDefault="00DA07AE" w:rsidP="00DA07AE">
      <w:pPr>
        <w:widowControl w:val="0"/>
        <w:tabs>
          <w:tab w:val="left" w:pos="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деятельности рабочей группы</w:t>
      </w:r>
    </w:p>
    <w:p w:rsidR="00DA07AE" w:rsidRPr="00DA07AE" w:rsidRDefault="00DA07AE" w:rsidP="00DA07AE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5.1. Организационно – техническое обеспечение деятельности рабочей группы осуществляет администрации сельского поселения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Нижнематренский</w:t>
      </w: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Добринского муниципального района.</w:t>
      </w:r>
    </w:p>
    <w:p w:rsidR="00DA07AE" w:rsidRPr="00DA07AE" w:rsidRDefault="00DA07AE" w:rsidP="00DA07AE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7AE" w:rsidRPr="00DA07AE" w:rsidRDefault="00DA07AE" w:rsidP="00DA07AE">
      <w:pPr>
        <w:widowControl w:val="0"/>
        <w:numPr>
          <w:ilvl w:val="0"/>
          <w:numId w:val="31"/>
        </w:numPr>
        <w:tabs>
          <w:tab w:val="left" w:pos="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Заключительные положения</w:t>
      </w:r>
    </w:p>
    <w:p w:rsidR="00DA07AE" w:rsidRPr="00DA07AE" w:rsidRDefault="00DA07AE" w:rsidP="00DA07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6.1.Рабочая группа действует на постоянной основе.  </w:t>
      </w:r>
    </w:p>
    <w:p w:rsidR="00DA07AE" w:rsidRPr="00DA07AE" w:rsidRDefault="00DA07AE" w:rsidP="00DA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12" w:rsidRPr="007B2912" w:rsidRDefault="007B2912" w:rsidP="007B2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12" w:rsidRPr="007B2912" w:rsidRDefault="007B2912" w:rsidP="007B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12" w:rsidRPr="007B2912" w:rsidRDefault="007B2912" w:rsidP="007B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3" w:rsidRPr="006B53F3" w:rsidRDefault="006B53F3" w:rsidP="006B53F3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B53F3" w:rsidRPr="006B53F3" w:rsidSect="0085360F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510F0D"/>
    <w:multiLevelType w:val="multilevel"/>
    <w:tmpl w:val="B1FA6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0497B"/>
    <w:multiLevelType w:val="multilevel"/>
    <w:tmpl w:val="49A4A5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F2EAF"/>
    <w:multiLevelType w:val="hybridMultilevel"/>
    <w:tmpl w:val="1D04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8397DD0"/>
    <w:multiLevelType w:val="multilevel"/>
    <w:tmpl w:val="B90CAF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5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26"/>
  </w:num>
  <w:num w:numId="11">
    <w:abstractNumId w:val="24"/>
  </w:num>
  <w:num w:numId="12">
    <w:abstractNumId w:val="5"/>
  </w:num>
  <w:num w:numId="13">
    <w:abstractNumId w:val="14"/>
  </w:num>
  <w:num w:numId="14">
    <w:abstractNumId w:val="31"/>
  </w:num>
  <w:num w:numId="15">
    <w:abstractNumId w:val="13"/>
  </w:num>
  <w:num w:numId="16">
    <w:abstractNumId w:val="22"/>
  </w:num>
  <w:num w:numId="17">
    <w:abstractNumId w:val="19"/>
  </w:num>
  <w:num w:numId="18">
    <w:abstractNumId w:val="21"/>
  </w:num>
  <w:num w:numId="19">
    <w:abstractNumId w:val="28"/>
  </w:num>
  <w:num w:numId="20">
    <w:abstractNumId w:val="4"/>
  </w:num>
  <w:num w:numId="21">
    <w:abstractNumId w:val="16"/>
  </w:num>
  <w:num w:numId="22">
    <w:abstractNumId w:val="29"/>
  </w:num>
  <w:num w:numId="23">
    <w:abstractNumId w:val="15"/>
  </w:num>
  <w:num w:numId="24">
    <w:abstractNumId w:val="3"/>
  </w:num>
  <w:num w:numId="25">
    <w:abstractNumId w:val="18"/>
  </w:num>
  <w:num w:numId="26">
    <w:abstractNumId w:val="17"/>
  </w:num>
  <w:num w:numId="27">
    <w:abstractNumId w:val="27"/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156794"/>
    <w:rsid w:val="001A77D7"/>
    <w:rsid w:val="00206AF9"/>
    <w:rsid w:val="00213044"/>
    <w:rsid w:val="00245A56"/>
    <w:rsid w:val="002A05C5"/>
    <w:rsid w:val="002C4DF2"/>
    <w:rsid w:val="002D46FF"/>
    <w:rsid w:val="002E4BC2"/>
    <w:rsid w:val="002E79A0"/>
    <w:rsid w:val="00345529"/>
    <w:rsid w:val="00365DFC"/>
    <w:rsid w:val="003D2E8D"/>
    <w:rsid w:val="003E3A9C"/>
    <w:rsid w:val="004025B8"/>
    <w:rsid w:val="00412C16"/>
    <w:rsid w:val="00433B3B"/>
    <w:rsid w:val="00434109"/>
    <w:rsid w:val="00451AA9"/>
    <w:rsid w:val="00462B3A"/>
    <w:rsid w:val="004B3D67"/>
    <w:rsid w:val="004B5559"/>
    <w:rsid w:val="004D0DD2"/>
    <w:rsid w:val="004D27AE"/>
    <w:rsid w:val="00513DB6"/>
    <w:rsid w:val="00514453"/>
    <w:rsid w:val="00555425"/>
    <w:rsid w:val="005647CD"/>
    <w:rsid w:val="0057112C"/>
    <w:rsid w:val="00594C47"/>
    <w:rsid w:val="005A27E1"/>
    <w:rsid w:val="005C30B0"/>
    <w:rsid w:val="005D583B"/>
    <w:rsid w:val="0061569C"/>
    <w:rsid w:val="006167DA"/>
    <w:rsid w:val="00642AC0"/>
    <w:rsid w:val="00660787"/>
    <w:rsid w:val="00673DA8"/>
    <w:rsid w:val="00681E91"/>
    <w:rsid w:val="006B53F3"/>
    <w:rsid w:val="00705CD1"/>
    <w:rsid w:val="007201D6"/>
    <w:rsid w:val="00740713"/>
    <w:rsid w:val="007466F4"/>
    <w:rsid w:val="00762A11"/>
    <w:rsid w:val="00776D59"/>
    <w:rsid w:val="00795F97"/>
    <w:rsid w:val="007A550B"/>
    <w:rsid w:val="007B2912"/>
    <w:rsid w:val="007B5C19"/>
    <w:rsid w:val="007D5BC5"/>
    <w:rsid w:val="007D7D8F"/>
    <w:rsid w:val="007F7957"/>
    <w:rsid w:val="00817D35"/>
    <w:rsid w:val="00841BA2"/>
    <w:rsid w:val="00842B43"/>
    <w:rsid w:val="0085360F"/>
    <w:rsid w:val="0088164E"/>
    <w:rsid w:val="008C36CB"/>
    <w:rsid w:val="008F06C8"/>
    <w:rsid w:val="00904E21"/>
    <w:rsid w:val="009137F1"/>
    <w:rsid w:val="00923E5B"/>
    <w:rsid w:val="00940A51"/>
    <w:rsid w:val="00981CD5"/>
    <w:rsid w:val="009A4C29"/>
    <w:rsid w:val="00A03FEB"/>
    <w:rsid w:val="00A358F1"/>
    <w:rsid w:val="00A515AC"/>
    <w:rsid w:val="00A53573"/>
    <w:rsid w:val="00AD03A1"/>
    <w:rsid w:val="00B64592"/>
    <w:rsid w:val="00BB26CE"/>
    <w:rsid w:val="00BD0088"/>
    <w:rsid w:val="00BF3B5F"/>
    <w:rsid w:val="00C23EE2"/>
    <w:rsid w:val="00C84470"/>
    <w:rsid w:val="00C86D44"/>
    <w:rsid w:val="00C954B3"/>
    <w:rsid w:val="00CC3F6B"/>
    <w:rsid w:val="00CD04D0"/>
    <w:rsid w:val="00CD22E2"/>
    <w:rsid w:val="00D153B5"/>
    <w:rsid w:val="00D40C5F"/>
    <w:rsid w:val="00D47E58"/>
    <w:rsid w:val="00D504A9"/>
    <w:rsid w:val="00D55A5A"/>
    <w:rsid w:val="00D5773F"/>
    <w:rsid w:val="00D65079"/>
    <w:rsid w:val="00D67F42"/>
    <w:rsid w:val="00D74167"/>
    <w:rsid w:val="00D8477A"/>
    <w:rsid w:val="00D94DA6"/>
    <w:rsid w:val="00DA07AE"/>
    <w:rsid w:val="00DB3ED2"/>
    <w:rsid w:val="00DC4BEB"/>
    <w:rsid w:val="00E726BE"/>
    <w:rsid w:val="00E80BE4"/>
    <w:rsid w:val="00EB079C"/>
    <w:rsid w:val="00F6020C"/>
    <w:rsid w:val="00F868F5"/>
    <w:rsid w:val="00FA6260"/>
    <w:rsid w:val="00FC312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245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ss.admdobrin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57BC-7F63-476F-865F-80CD0B0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2020-07-14T12:09:00Z</cp:lastPrinted>
  <dcterms:created xsi:type="dcterms:W3CDTF">2012-06-15T09:20:00Z</dcterms:created>
  <dcterms:modified xsi:type="dcterms:W3CDTF">2020-07-14T12:09:00Z</dcterms:modified>
</cp:coreProperties>
</file>