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F4" w:rsidRPr="005B5049" w:rsidRDefault="0025363F" w:rsidP="003D7A7D">
      <w:pPr>
        <w:keepNext/>
        <w:tabs>
          <w:tab w:val="left" w:pos="2730"/>
          <w:tab w:val="left" w:pos="2880"/>
          <w:tab w:val="center" w:pos="524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</w:p>
    <w:p w:rsidR="003E2CF4" w:rsidRPr="00C85CEB" w:rsidRDefault="003E2CF4" w:rsidP="003E2CF4">
      <w:pPr>
        <w:pStyle w:val="a5"/>
        <w:shd w:val="clear" w:color="auto" w:fill="FFFFFF"/>
        <w:jc w:val="right"/>
        <w:rPr>
          <w:color w:val="000000"/>
        </w:rPr>
      </w:pPr>
      <w:r w:rsidRPr="00C85CEB">
        <w:rPr>
          <w:color w:val="000000"/>
        </w:rPr>
        <w:t>Утверждены</w:t>
      </w:r>
      <w:bookmarkStart w:id="0" w:name="_GoBack"/>
      <w:bookmarkEnd w:id="0"/>
      <w:r w:rsidRPr="00C85CEB">
        <w:rPr>
          <w:color w:val="000000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25363F" w:rsidRPr="00C85CEB">
        <w:rPr>
          <w:color w:val="000000"/>
        </w:rPr>
        <w:t>Ниж</w:t>
      </w:r>
      <w:r w:rsidR="009849A1" w:rsidRPr="00C85CEB">
        <w:rPr>
          <w:color w:val="000000"/>
        </w:rPr>
        <w:t>нематренский сельсовет</w:t>
      </w:r>
      <w:r w:rsidR="009849A1" w:rsidRPr="00C85CEB">
        <w:rPr>
          <w:color w:val="000000"/>
        </w:rPr>
        <w:br/>
        <w:t>№ 2</w:t>
      </w:r>
      <w:r w:rsidR="0025363F" w:rsidRPr="00C85CEB">
        <w:rPr>
          <w:color w:val="000000"/>
        </w:rPr>
        <w:t>8</w:t>
      </w:r>
      <w:r w:rsidR="009849A1" w:rsidRPr="00C85CEB">
        <w:rPr>
          <w:color w:val="000000"/>
        </w:rPr>
        <w:t xml:space="preserve"> -</w:t>
      </w:r>
      <w:proofErr w:type="spellStart"/>
      <w:r w:rsidR="009849A1" w:rsidRPr="00C85CEB">
        <w:rPr>
          <w:color w:val="000000"/>
        </w:rPr>
        <w:t>рс</w:t>
      </w:r>
      <w:proofErr w:type="spellEnd"/>
      <w:r w:rsidR="009849A1" w:rsidRPr="00C85CEB">
        <w:rPr>
          <w:color w:val="000000"/>
        </w:rPr>
        <w:t xml:space="preserve">  от  2</w:t>
      </w:r>
      <w:r w:rsidR="0025363F" w:rsidRPr="00C85CEB">
        <w:rPr>
          <w:color w:val="000000"/>
        </w:rPr>
        <w:t>2</w:t>
      </w:r>
      <w:r w:rsidRPr="00C85CEB">
        <w:rPr>
          <w:color w:val="000000"/>
        </w:rPr>
        <w:t>.12.2015г.</w:t>
      </w:r>
    </w:p>
    <w:p w:rsidR="003E2CF4" w:rsidRPr="005B5049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B504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ПРАВИЛ</w:t>
      </w:r>
      <w:r w:rsidR="00E41FDA" w:rsidRPr="005B5049">
        <w:rPr>
          <w:b/>
          <w:color w:val="000000"/>
          <w:sz w:val="28"/>
          <w:szCs w:val="28"/>
        </w:rPr>
        <w:t>А</w:t>
      </w:r>
      <w:r w:rsidRPr="005B5049">
        <w:rPr>
          <w:b/>
          <w:color w:val="000000"/>
          <w:sz w:val="28"/>
          <w:szCs w:val="28"/>
        </w:rPr>
        <w:t xml:space="preserve"> ЗЕМЛЕПОЛЬЗОВАНИЯ И ЗАСТРОЙКИ                                                      СЕЛЬС</w:t>
      </w:r>
      <w:r w:rsidR="00A46D2D">
        <w:rPr>
          <w:b/>
          <w:color w:val="000000"/>
          <w:sz w:val="28"/>
          <w:szCs w:val="28"/>
        </w:rPr>
        <w:t>К</w:t>
      </w:r>
      <w:r w:rsidRPr="005B5049">
        <w:rPr>
          <w:b/>
          <w:color w:val="000000"/>
          <w:sz w:val="28"/>
          <w:szCs w:val="28"/>
        </w:rPr>
        <w:t xml:space="preserve">ОГО ПОСЕЛЕНИЯ </w:t>
      </w:r>
      <w:r w:rsidR="0025363F" w:rsidRPr="005B5049">
        <w:rPr>
          <w:b/>
          <w:color w:val="000000"/>
          <w:sz w:val="28"/>
          <w:szCs w:val="28"/>
        </w:rPr>
        <w:t>НИЖ</w:t>
      </w:r>
      <w:r w:rsidR="009849A1" w:rsidRPr="005B5049">
        <w:rPr>
          <w:b/>
          <w:color w:val="000000"/>
          <w:sz w:val="28"/>
          <w:szCs w:val="28"/>
        </w:rPr>
        <w:t>НЕМАТРЕНСКИЙ</w:t>
      </w:r>
      <w:r w:rsidRPr="005B5049"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3E2CF4" w:rsidRPr="005B5049" w:rsidRDefault="003E2CF4" w:rsidP="00980F8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F8B" w:rsidRPr="005B5049" w:rsidRDefault="00980F8B" w:rsidP="00980F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I. Порядок применения правил землепользования и застройки</w:t>
      </w:r>
      <w:r w:rsidR="00A46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внесения в них изменений</w:t>
      </w:r>
    </w:p>
    <w:p w:rsidR="00980F8B" w:rsidRPr="005B5049" w:rsidRDefault="00980F8B" w:rsidP="00980F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F8B" w:rsidRPr="005B5049" w:rsidRDefault="00980F8B" w:rsidP="00980F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</w:t>
      </w:r>
      <w:r w:rsidR="005B5049"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 о регулировании землепользования и застройки органами местного самоуправления</w:t>
      </w:r>
    </w:p>
    <w:p w:rsidR="00980F8B" w:rsidRPr="005B5049" w:rsidRDefault="00980F8B" w:rsidP="00980F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F8B" w:rsidRPr="005B5049" w:rsidRDefault="00980F8B" w:rsidP="00980F8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1.1. Сфера применения Правил землепользования и застройки сельского поселения.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Нижнематренский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B53D64" w:rsidRPr="005B5049" w:rsidRDefault="00B53D64" w:rsidP="00B53D6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Правила разрабатываются в целях: </w:t>
      </w:r>
    </w:p>
    <w:p w:rsidR="00B53D64" w:rsidRPr="005B5049" w:rsidRDefault="00B53D64" w:rsidP="00B53D6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iCs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B53D64" w:rsidRPr="005B5049" w:rsidRDefault="00B53D64" w:rsidP="00B53D6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iCs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B53D64" w:rsidRPr="005B5049" w:rsidRDefault="00B53D64" w:rsidP="00B53D6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iCs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53D64" w:rsidRPr="005B5049" w:rsidRDefault="00B53D64" w:rsidP="00B53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иные вопросы </w:t>
      </w: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B53D64" w:rsidRPr="005B5049" w:rsidRDefault="00B53D64" w:rsidP="00B53D64">
      <w:pPr>
        <w:keepNext/>
        <w:numPr>
          <w:ilvl w:val="2"/>
          <w:numId w:val="3"/>
        </w:num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_Toc321123216"/>
      <w:bookmarkStart w:id="2" w:name="_Toc235427912"/>
    </w:p>
    <w:p w:rsidR="00B53D64" w:rsidRPr="005B5049" w:rsidRDefault="00B53D64" w:rsidP="00B53D64">
      <w:pPr>
        <w:keepNext/>
        <w:numPr>
          <w:ilvl w:val="2"/>
          <w:numId w:val="3"/>
        </w:num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Статья 1.3. Комиссия по землепользованию и застройке</w:t>
      </w:r>
      <w:bookmarkEnd w:id="1"/>
      <w:bookmarkEnd w:id="2"/>
    </w:p>
    <w:p w:rsidR="00B53D64" w:rsidRPr="005B5049" w:rsidRDefault="00B53D64" w:rsidP="00B53D6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D64" w:rsidRPr="005B5049" w:rsidRDefault="00B53D64" w:rsidP="00B53D6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1.3.2. Комиссия: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B53D64" w:rsidRPr="005B5049" w:rsidRDefault="00B53D64" w:rsidP="00B53D6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</w:t>
      </w: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2.1.9. </w:t>
      </w: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</w:t>
      </w:r>
      <w:proofErr w:type="gramStart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,  водообеспечение,  канализование,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7F22C2" w:rsidRDefault="007F22C2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3D64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7F22C2" w:rsidRPr="007F22C2" w:rsidRDefault="007F22C2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</w:t>
      </w: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поселения или нормативными правовыми актами представительного органа сельского поселения с учетом положений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>статьи 4.1 настоящих</w:t>
      </w: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980F8B" w:rsidRPr="005B5049" w:rsidRDefault="00980F8B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5B504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980F8B" w:rsidRPr="005B5049" w:rsidRDefault="00980F8B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5" w:name="sub_42"/>
      <w:bookmarkEnd w:id="4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5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6" w:name="sub_43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7" w:name="sub_44"/>
      <w:bookmarkEnd w:id="6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в устной форме - непосредственно в ходе проведения публичных слушаний.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8" w:name="sub_48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10" w:name="sub_410"/>
      <w:bookmarkEnd w:id="9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1" w:name="sub_413"/>
      <w:bookmarkEnd w:id="10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2" w:name="sub_414"/>
      <w:bookmarkEnd w:id="11"/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p w:rsidR="00980F8B" w:rsidRPr="005B5049" w:rsidRDefault="00980F8B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bookmarkEnd w:id="12"/>
    <w:p w:rsidR="00980F8B" w:rsidRPr="005B5049" w:rsidRDefault="00980F8B" w:rsidP="0098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980F8B" w:rsidRPr="005B5049" w:rsidRDefault="00980F8B" w:rsidP="0098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980F8B" w:rsidRPr="005B5049" w:rsidRDefault="00980F8B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sz w:val="28"/>
          <w:szCs w:val="28"/>
        </w:rPr>
        <w:t>Статья 6.2. Вступление в силу настоящих   Правил.</w:t>
      </w: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D64" w:rsidRPr="005B5049" w:rsidRDefault="00B53D64" w:rsidP="00B5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опубликования.</w:t>
      </w:r>
    </w:p>
    <w:p w:rsidR="00B53D64" w:rsidRPr="005B5049" w:rsidRDefault="00B53D64" w:rsidP="00B53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17011" w:rsidRPr="005B5049" w:rsidRDefault="000C361A" w:rsidP="00C1701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Часть </w:t>
      </w:r>
      <w:proofErr w:type="spellStart"/>
      <w:r w:rsidR="005B50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ll</w:t>
      </w:r>
      <w:proofErr w:type="spellEnd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</w:t>
      </w:r>
      <w:r w:rsidR="00C17011"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Карта градостроительного зонирования</w:t>
      </w:r>
    </w:p>
    <w:p w:rsidR="005334E7" w:rsidRDefault="005334E7" w:rsidP="005334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334E7" w:rsidRPr="005B5049" w:rsidRDefault="005334E7" w:rsidP="005334E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Раздел 7. Карта градостроительного зонирования</w:t>
      </w:r>
    </w:p>
    <w:p w:rsidR="00D33732" w:rsidRPr="005B5049" w:rsidRDefault="00D33732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C17011" w:rsidRPr="00C85CEB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Чертежи включают в себя: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границы сельского поселения;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- границы территориальных зон внутри границ сельского поселения;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существующие и планируемые границы населенных пунктов;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границы санитарно-защитных зон;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- границы водоохранных зон;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особо охраняемые природные территории;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объекты культурного наследия;</w:t>
      </w:r>
    </w:p>
    <w:p w:rsidR="00C17011" w:rsidRPr="005B5049" w:rsidRDefault="00C17011" w:rsidP="00C17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виды и состав территориальных зон.</w:t>
      </w:r>
    </w:p>
    <w:p w:rsidR="000C361A" w:rsidRPr="005B5049" w:rsidRDefault="000C361A" w:rsidP="00C1701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13" w:name="_Toc368330687"/>
    </w:p>
    <w:p w:rsidR="00C17011" w:rsidRPr="005B5049" w:rsidRDefault="00C17011" w:rsidP="00C1701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0C361A"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7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="000C361A"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Виды территориальных зон, обозначенных на карте градостроительного зонирования</w:t>
      </w:r>
      <w:bookmarkEnd w:id="13"/>
    </w:p>
    <w:p w:rsidR="000C361A" w:rsidRPr="005B5049" w:rsidRDefault="000C361A" w:rsidP="00C1701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картах градостроительного зонирования сельского поселения Нижнематренский сельсовет выделены следующие территориальные зоны: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жилые зоны.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общественно-деловые зоны.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производственные зоны. 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СХ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зоны сельскохозяйственного использования.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зоны инженерной и транспортной инфраструктур.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зоны рекреационного назначения.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ОХ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зоны с особыми условиями использования территории.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зоны специального назначения.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ЛФ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зоны лесного фонда.</w:t>
      </w:r>
    </w:p>
    <w:p w:rsidR="00465431" w:rsidRPr="005B5049" w:rsidRDefault="00465431" w:rsidP="0046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ВФ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- зоны водного фонда.</w:t>
      </w: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361A" w:rsidRPr="005B5049" w:rsidRDefault="000C361A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proofErr w:type="spellStart"/>
      <w:r w:rsid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lll</w:t>
      </w:r>
      <w:proofErr w:type="spellEnd"/>
      <w:r w:rsidR="005B5049" w:rsidRPr="00C8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Градостроительные регламенты.</w:t>
      </w:r>
    </w:p>
    <w:p w:rsidR="000C361A" w:rsidRPr="005B5049" w:rsidRDefault="000C361A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3298" w:rsidRPr="005B5049" w:rsidRDefault="00AD3298" w:rsidP="00AD32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8. Градостроительные регламенты.</w:t>
      </w:r>
    </w:p>
    <w:p w:rsidR="00AD3298" w:rsidRPr="005B5049" w:rsidRDefault="00AD3298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3298" w:rsidRPr="005B5049" w:rsidRDefault="00AD3298" w:rsidP="00AD329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Градостроительный регламент</w:t>
      </w:r>
    </w:p>
    <w:p w:rsidR="00AE2A85" w:rsidRPr="005B5049" w:rsidRDefault="00AE2A85" w:rsidP="00AD329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1.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9467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9467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включают: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2) вспомогательные виды разрешенного использования, допустимые только в качестве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осуществляемые совместно с ними;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3) условно разрешенный вид использования земельных участков и объектов капитального строительства допустимый по специальному разрешению после обсуждения на публичных слушаниях.</w:t>
      </w: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. Виды разрешенного использования, не предусмотренные в градостроительном регламенте, являются запрещенными.</w:t>
      </w: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5) минимальный процент озеленения для территорий жилых кварталов, детских дошкольных и спортивных площадок для образовательных учреждений, общественно – деловых зон;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6)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AD3298" w:rsidRPr="005B5049" w:rsidRDefault="00AD3298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7) иные показатели.</w:t>
      </w: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8.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AD3298" w:rsidRPr="005B5049" w:rsidRDefault="00AE2A85" w:rsidP="00AD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AD3298" w:rsidRPr="005B5049">
        <w:rPr>
          <w:rFonts w:ascii="Times New Roman" w:eastAsia="Times New Roman" w:hAnsi="Times New Roman" w:cs="Times New Roman"/>
          <w:sz w:val="28"/>
          <w:szCs w:val="28"/>
        </w:rPr>
        <w:t>9.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строительства.</w:t>
      </w:r>
    </w:p>
    <w:p w:rsidR="00BF5DC7" w:rsidRPr="005B5049" w:rsidRDefault="005B5049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 занятых линейными объектами, предоставленные для добычи полезных ископаемых.</w:t>
      </w:r>
    </w:p>
    <w:p w:rsidR="00BF5DC7" w:rsidRPr="005B5049" w:rsidRDefault="005B5049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Градостроительные регламенты не устанавливаются для земель лесного фонда, водного фонда,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BF5DC7" w:rsidRPr="005B5049" w:rsidRDefault="005B5049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Градостроительные регламенты по видам разрешенного использования резервных территорий соответствуют градостроительным регламентам их перспективного функционального зонирования, принятого в Генеральном плане сельского поселения.</w:t>
      </w:r>
    </w:p>
    <w:p w:rsidR="00BF5DC7" w:rsidRPr="005B5049" w:rsidRDefault="005B5049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В составе земель территории населенных пунктов сельского поселения отсутствуют зоны, воздушного транспорта, земли лечебно-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оздоровительных местностей и курортов в составе зон природоохранных объектов.</w:t>
      </w:r>
    </w:p>
    <w:p w:rsidR="00BF5DC7" w:rsidRPr="005B5049" w:rsidRDefault="005B5049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В соответствии с заданием на разработку проекта Правил землепользования, включение в состав градостроительных регламентов условно разрешенных видов использования земельных участков и объектов капитального строительства возможно в исключительных случаях. Например, в случае расположения в границах рассматриваемой территориальной зоны объекта с неустановленными характеристиками негативного воздействия на окружающую среду.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4" w:name="_Toc368331641"/>
      <w:bookmarkStart w:id="15" w:name="_Toc322108202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8.</w:t>
      </w:r>
      <w:r w:rsidR="004D2B3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Жилые зоны (Ж)</w:t>
      </w:r>
      <w:bookmarkEnd w:id="14"/>
      <w:bookmarkEnd w:id="15"/>
    </w:p>
    <w:p w:rsidR="005B5049" w:rsidRDefault="005B5049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– зона застройки индивидуальными жилыми домами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Зона индивидуальной жилой застройки</w:t>
      </w:r>
      <w:proofErr w:type="gramStart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застройки.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отдельно стоящие жилые дома на одну семью 1-3 этажа с участком;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блокированные жилые дома 1-3 этажа с участком.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многоквартирные жилые дома 1-3 этажа с участком и без.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BF5DC7" w:rsidRPr="005B5049" w:rsidRDefault="00C85CEB" w:rsidP="00C8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- отдельно стоящие или встроенные в дома гаражи или открытые автостоянки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(2 </w:t>
      </w:r>
      <w:proofErr w:type="spellStart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машиноместа</w:t>
      </w:r>
      <w:proofErr w:type="spellEnd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на индивидуальный земельный участок);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хозяйственные постройки, строения для содержания домашнего скота и птицы;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сады, огороды, теплицы, оранжереи;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индивидуальные резервуары для хранения воды, скважины для забора воды, колодцы;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индивидуальные бани, надворные туалеты;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детские площадки, площадки для отдыха, спортивных занятий;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элементы благоустройства;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противопожарные водоемы, резервуары;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общественные бани до 15 мест;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контейнерные площадки для сбора мусора;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физкультурно-оздоровительные сооружения;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открытые автостоянки для временного хранения индивидуальных легковых автомобилей, в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. и гостевые автостоянки;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магазины товаров первой необходимости, при условии, что общая площадь магазина не превышает 100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киоски, лоточная торговля, павильоны розничной торговли и обслуживания населения, при условии, что общая площадь объектов не превышает 80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2B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Параметры разрешенного использования земельных участков и объектов капитального строительства на территории жилых зон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Минимальная и максимальная площадь </w:t>
      </w:r>
      <w:proofErr w:type="gramStart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участка, предоставленного для индивидуального жилищного строительства составляет</w:t>
      </w:r>
      <w:proofErr w:type="gramEnd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максимальный размер – 5000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минимальный размер – 500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85C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Жилые дома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5C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До границы соседнего участка расстояния по санитарно-бытовым условиям должны быть не менее: от индивидуального, одно-двухквартирного и блокированного дома - </w:t>
      </w:r>
      <w:smartTag w:uri="urn:schemas-microsoft-com:office:smarttags" w:element="metricconverter">
        <w:smartTagPr>
          <w:attr w:name="ProductID" w:val="3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; от кустарников - </w:t>
      </w:r>
      <w:smartTag w:uri="urn:schemas-microsoft-com:office:smarttags" w:element="metricconverter">
        <w:smartTagPr>
          <w:attr w:name="ProductID" w:val="1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5C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6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; 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15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 Хозяйственные постройки следует 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C85C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50 см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50 см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При возведении на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="00BF5DC7" w:rsidRPr="005B5049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блокировка хозяйственных построек на смежных приусадебных участках по взаимному согласию собственников земельных участков.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блокировка хозяйственных построек к основному строению.</w:t>
      </w:r>
    </w:p>
    <w:p w:rsidR="00BF5DC7" w:rsidRPr="005B5049" w:rsidRDefault="00C85CEB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использования территории - не более 0,67.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Для всех основных строений: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количество надземных этажей - до трех;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высота от уровня земли до верха плоской кровли - не более </w:t>
      </w:r>
      <w:smartTag w:uri="urn:schemas-microsoft-com:office:smarttags" w:element="metricconverter">
        <w:smartTagPr>
          <w:attr w:name="ProductID" w:val="12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до конька скатной кровли - не более </w:t>
      </w:r>
      <w:smartTag w:uri="urn:schemas-microsoft-com:office:smarttags" w:element="metricconverter">
        <w:smartTagPr>
          <w:attr w:name="ProductID" w:val="14,4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14,4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как исключение: шпили, башни, флагштоки - без ограничения.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Для всех вспомогательных строений: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высота от уровня земли до верха плоской кровли - не более </w:t>
      </w:r>
      <w:smartTag w:uri="urn:schemas-microsoft-com:office:smarttags" w:element="metricconverter">
        <w:smartTagPr>
          <w:attr w:name="ProductID" w:val="4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до конька скатной кровли - не более </w:t>
      </w:r>
      <w:smartTag w:uri="urn:schemas-microsoft-com:office:smarttags" w:element="metricconverter">
        <w:smartTagPr>
          <w:attr w:name="ProductID" w:val="4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4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как исключение: шпили, башни, флагштоки - без ограничения.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 xml:space="preserve">0)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>Вспомогательные строения и сооружения, за исключением гаражей, размещать со стороны улиц не допускается,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Ограничения, связанные с размещением оконных проемов, выходящих на соседние домовладения: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расстояния от окон жилых помещений до хозяйственных и прочих строений, расположенных на соседних участках, должно быть не менее 6м.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ограждениям земельных участков: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со стороны улиц ограждения должны быть прозрачными; допускается сплошной забор как исключение.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</w:r>
      <w:smartTag w:uri="urn:schemas-microsoft-com:office:smarttags" w:element="metricconverter">
        <w:smartTagPr>
          <w:attr w:name="ProductID" w:val="1,8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1,8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 Более </w:t>
      </w:r>
      <w:smartTag w:uri="urn:schemas-microsoft-com:office:smarttags" w:element="metricconverter">
        <w:smartTagPr>
          <w:attr w:name="ProductID" w:val="1,8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1,8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– по согласованию со смежными землепользователями;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установка ограждений между соседними земельными участками должна осуществляться строго по межевому плану.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Помещения для мелкого скота и птицы должны иметь изолированный наружный вход, расположенный не ближе 7м от входа в жилой дом. Возможна организация внутренней связи хозяйственной постройки и жилого дома при соблюдении санитарно-гигиенических требований.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менее указанного</w:t>
      </w:r>
      <w:proofErr w:type="gramEnd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в таблице 1.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Таблица 1. Расстояние от помещений для содержания животных до объектов жилой застройки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92"/>
        <w:gridCol w:w="1093"/>
        <w:gridCol w:w="1092"/>
        <w:gridCol w:w="1091"/>
        <w:gridCol w:w="1092"/>
        <w:gridCol w:w="1092"/>
        <w:gridCol w:w="1092"/>
      </w:tblGrid>
      <w:tr w:rsidR="00BF5DC7" w:rsidRPr="005B5049" w:rsidTr="00BF5DC7">
        <w:trPr>
          <w:trHeight w:val="2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разрыв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(</w:t>
            </w:r>
            <w:proofErr w:type="spellStart"/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), не более</w:t>
            </w:r>
          </w:p>
        </w:tc>
      </w:tr>
      <w:tr w:rsidR="00BF5DC7" w:rsidRPr="005B5049" w:rsidTr="00BF5DC7">
        <w:trPr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нутрии</w:t>
            </w:r>
          </w:p>
        </w:tc>
      </w:tr>
      <w:tr w:rsidR="00BF5DC7" w:rsidRPr="005B5049" w:rsidTr="00BF5DC7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DC7" w:rsidRPr="005B5049" w:rsidTr="00BF5DC7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 м</w:t>
              </w:r>
            </w:smartTag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5DC7" w:rsidRPr="005B5049" w:rsidTr="00BF5DC7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м</w:t>
              </w:r>
            </w:smartTag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DC7" w:rsidRPr="005B5049" w:rsidTr="00BF5DC7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40 м</w:t>
              </w:r>
            </w:smartTag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C792E" w:rsidRDefault="00BC792E" w:rsidP="00BC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C792E" w:rsidP="00BC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="00BF5DC7" w:rsidRPr="005B5049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предельное количество голов домашних животных, разрешаемых содержать на территории одного домовладения равно: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КРС -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15 ед.,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лошади -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15 ед.,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свиньи -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15 ед.,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кролики -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40 ед.,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нутрии -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15 ед.,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козы, овцы -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25 ед.,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птица -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  <w:t>75 ед.,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  <w:proofErr w:type="gramEnd"/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кустарником,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6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 кв.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– не более 6.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20)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Особые условия реализации регламента: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1. Новое строительство, реконструкцию осуществлять по утвержденному проекту планировки и межевания территории.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2.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3.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368331642"/>
      <w:bookmarkStart w:id="17" w:name="_Toc322108203"/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8.</w:t>
      </w:r>
      <w:r w:rsidR="00A768C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="005B504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Общественно-деловые зоны (ОД)</w:t>
      </w:r>
      <w:bookmarkEnd w:id="16"/>
      <w:bookmarkEnd w:id="17"/>
    </w:p>
    <w:p w:rsidR="00A70E8D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ОД – зона застройки объектами общественно-делового назначения.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Зоны предназначены для размещения объектов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ориентированных на удовлетворение повседневных и периодических требований населения.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Основные разрешенные виды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административные здания, офисы, конторы различных организаций, фирм, компаний, банки, научные,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назначения, обслуживающие население;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гостиницы, дома приема гостей, центры обслуживания туристов;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заведения дошкольного, начального и среднего специального образования;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клубы (залы встреч и собраний) многоцелевого и специализированного назначения;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библиотеки, архивы, информационные центры;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музеи, выставочные залы;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танцзалы, дискотеки;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кинотеатры, видеосалоны;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поликлиники,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, другие объекты здравоохранения;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аптеки;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предприятия бытового обслуживания, художественные мастерские, мастерские изделий народных промыслов;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почтовые отделения, телефонные и телеграфные станции;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- универсальные спортивные и развлекательные комплексы;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спортплощадки;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спортзалы, бассейны открытые и закрытые;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банно-оздоровительные комплексы,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магазины товаров первой необходимости;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торговые центры, выставки товаров, в отдельно стоящих зданиях общей площадью до </w:t>
      </w:r>
      <w:smartTag w:uri="urn:schemas-microsoft-com:office:smarttags" w:element="metricconverter">
        <w:smartTagPr>
          <w:attr w:name="ProductID" w:val="1000 кв.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1000 кв.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рестораны, бары (с предложением алкогольных напитков);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кафе, закусочные, столовые;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суды, нотариальные конторы, другие юридические учреждения;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компьютерные центры;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объекты, связанные с отправлением культа.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открытое или встроенное место парковки легковых автомобилей на каждые 30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зданий общественного назначения;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киоски, лоточная торговля, временные павильоны розничной торговлей обслуживания населения;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отделения милиции;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жилищно-эксплуатационные, аварийно-диспетчерские и противопожарные службы;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сооружения связи, радиовещания и телевидения;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вокзалы, остановочные павильоны и комплексы;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автозаправочные станции, объекты автосервиса, пункты проведения технического осмотра автомобилей.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A70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Параметры разрешенного использования земельных участков и объектов капитального строительства на территории общественно-деловых зон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Предельные параметры земельных участков и разрешенного строительства: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площадь земельных участков определяется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при разработке индивидуального проекта в соответствии с территориальными строительными нормами в зависимости от назначения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>, вместимости и других местных особенностей;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максимальный класс опасности (по санитарной классификации) объектов капитального строительства, размещаемых на территории зоны – V;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Минимальные отступы зданий, строений, сооружений.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От красной линии (в случае, если иной показатель не установлен линией регулирования застройки) - </w:t>
      </w:r>
      <w:smartTag w:uri="urn:schemas-microsoft-com:office:smarttags" w:element="metricconverter">
        <w:smartTagPr>
          <w:attr w:name="ProductID" w:val="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Расстояния между общественными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Высота зданий: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надземных этажей зданий, строений, сооружений на территории земельного участка - 5 этажей.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максимальная высота зданий, строений, сооружений на территории земельного участка, определяется проектом, с учетом норм инсоляции, освещенности, пожарной безопасности.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вспомогательным строениям: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минимальное количество мест на погрузо-разгрузочных площадках на территории земельных участков -2;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Минимальная доля озелененной территории земельных участков – 15%;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Особые условия реализации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1. Новое строительство, реконструкцию осуществлять по утвержденному проекту планировки и межевания территории.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2.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3. Высокие требования к архитектурному облику и отделке фасадов.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4. Обязательное оборудование входов зданий пандусами для людей с ограниченными возможностями.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5.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322108204"/>
      <w:bookmarkStart w:id="19" w:name="_Toc309149343"/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0" w:name="_Toc368331643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A70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8.</w:t>
      </w:r>
      <w:r w:rsidR="00A768C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="00A70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Производственные зоны (П)</w:t>
      </w:r>
      <w:bookmarkEnd w:id="18"/>
      <w:bookmarkEnd w:id="19"/>
      <w:bookmarkEnd w:id="20"/>
    </w:p>
    <w:p w:rsidR="00A70E8D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– зона застройки объектами производственного назначения.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Зона выделена для обеспечения правовых условий формирования коммунальных и производственных предприятий и складских баз до III класса вредности, имеющих санитарно-защитную зону до </w:t>
      </w:r>
      <w:smartTag w:uri="urn:schemas-microsoft-com:office:smarttags" w:element="metricconverter">
        <w:smartTagPr>
          <w:attr w:name="ProductID" w:val="300 м"/>
        </w:smartTagPr>
        <w:r w:rsidR="00BF5DC7" w:rsidRPr="005B5049">
          <w:rPr>
            <w:rFonts w:ascii="Times New Roman" w:eastAsia="Times New Roman" w:hAnsi="Times New Roman" w:cs="Times New Roman"/>
            <w:sz w:val="28"/>
            <w:szCs w:val="28"/>
          </w:rPr>
          <w:t>300 м</w:t>
        </w:r>
      </w:smartTag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Возможно уменьшение размеров СЗЗ, при надлежащем обосновании, для чего в первую очередь необходима разработка проекта санитарно-защитной зоны.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Основные разрешенные виды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промышленные и сельскохозяйственные предприятия и производства до III класса вредности;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коммунальные предприятия до III класса вредности;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оптовые склады и базы;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сооружения санитарно-технические, транспортной инфраструктуры, объекты коммунального назначения, спорта, торговли;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сооружения связи, радиовещания и телевидения;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автозаправочные станции, объекты автосервиса, пункты проведения технического осмотра автомобилей;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площадки для мусоросборников;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противопожарные водоемы;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лесозащитные полосы.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Параметры разрешенного использования земельных участков и объектов капитального строительства на территории производственных зон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Предельные параметры земельных участков и разрешенного строительства: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площадь земельных участков определяется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при разработке индивидуального проекта в соответствии с территориальными строительными нормами в зависимости от назначения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>, вместимости и других местных особенностей;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- максимальный класс опасности (по санитарной классификации) объектов капитального строительства, размещаемых на территории зоны – III;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Минимальные отступы зданий, строений, сооружений.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От красной линии (в случае, если иной показатель не установлен линией регулирования застройки) - </w:t>
      </w:r>
      <w:smartTag w:uri="urn:schemas-microsoft-com:office:smarttags" w:element="metricconverter">
        <w:smartTagPr>
          <w:attr w:name="ProductID" w:val="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Расстояния между общественными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Высота зданий: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надземных этажей зданий, строений, сооружений на территории земельного участка - 5 этажей.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максимальная высота зданий, строений, сооружений на территории земельного участка, определяется проектом, с учетом норм инсоляции, освещенности, пожарной безопасности.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вспомогательным строениям: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минимальное количество мест на погрузо-разгрузочных площадках на территории земельных участков -2;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Минимальная доля озелененной территории земельных участков – 15%;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Особые условия реализации регламента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1. Новое строительство, реконструкцию осуществлять по утвержденному проекту планировки и межевания территории.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2.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3. Строительство осуществлять в соответствии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строительными нормами и правилами и техническими регламентами.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4.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Toc368331644"/>
      <w:bookmarkStart w:id="22" w:name="_Toc322108205"/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A70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8.</w:t>
      </w:r>
      <w:r w:rsidR="00A768C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Зоны сельскохозяйственного использования (СХ)</w:t>
      </w:r>
      <w:bookmarkEnd w:id="21"/>
      <w:bookmarkEnd w:id="22"/>
    </w:p>
    <w:p w:rsidR="00A70E8D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СХ – зоны сельскохозяйственных угодий и занятые основными объектами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сельхозназначения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Земельные участки в составе зон сельскохозяйственного использования в населенных пунктах используются в целях ведения сельского хозяйства до момента изменения вида их использования в соответствии с Генеральным планом сельского поселения и настоящими Правилами.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- выращивание сельскохозяйственной продукции;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тепличные хозяйства;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фермы;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сельскохозяйственные производственные центры;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фрукто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и овощехранилища;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животноводство;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птицеводство;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пчеловодство.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.5.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дворовые постройки (мастерские, сараи, теплицы, бани и др.);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строения для занятий индивидуальной трудовой деятельностью (без нарушения принципов добрососедства);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склады минеральных удобрений и ядохимикатов;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индивидуальные гаражи на придомовом участке или парковки;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емкости для хранения воды;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водозаборы;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общественные резервуары для хранения воды;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помещения для охраны индивидуальных садов;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площадки для мусоросборников;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противопожарные водоемы;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лесозащитные полосы.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постройки для содержания мелких домашних животных;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ветлечебницы.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Параметры разрешенного использования земельных участков и объектов капитального строительства на территории сельскохозяйственных зон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Предельные параметры земельных участков и разрешенного строительства: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минимальная площадь земельного участка для размещения объектов разрешенного использования – 400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максимальная общая площадь объектов капитального строительства нежилого назначения на территории земельных участков не устанавливается;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- I;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Минимальные отступы зданий, строений, сооружений: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 красной линии (в случае, если иной показатель не установлен линией регулирования застройки) - </w:t>
      </w:r>
      <w:smartTag w:uri="urn:schemas-microsoft-com:office:smarttags" w:element="metricconverter">
        <w:smartTagPr>
          <w:attr w:name="ProductID" w:val="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расстояния между общественными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Высота зданий: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надземных этажей зданий, строений, сооружений на территории земельного участка - 3 этажа.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максимальная высота зданий, строений, сооружений на территории земельного участка, определяется проектом, с учетом норм инсоляции, освещенности, пожарной безопасности.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вспомогательным строениям: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Минимальная доля озелененной территории земельных участков – 15%.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общая площадь объектов капитального строительства нежилого назначения на территории земельных участков не устанавливается.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Особые условия реализации регламента – отсутствуют.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368331645"/>
      <w:bookmarkStart w:id="24" w:name="_Toc322108206"/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A70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8.</w:t>
      </w:r>
      <w:r w:rsidR="00A768C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Зоны инженерной и транспортной инфраструктур (ИТ)</w:t>
      </w:r>
      <w:bookmarkEnd w:id="23"/>
      <w:bookmarkEnd w:id="24"/>
    </w:p>
    <w:p w:rsidR="00A70E8D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– зона застройки объектами инженерной и транспортной инфраструктур.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Зона инженерной инфраструктуры выделена для обеспечения правовых условий использования земельных участков и объектов капитального строительства: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инженерной инфраструктуры, в том числе сооружений и коммуникаций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и водоснабжения,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транспортной инфраструктур, в том числе сооружений и коммуникаций автомобильного и железнодорожного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 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головные объекты электроснабжения, газоснабжения, водоснабжения и водоотведения;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антенны сотовой, радиорелейной, спутниковой связи;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офисы, конторы, административные службы;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дороги федерального, регионального, местного значения, местные улицы и проезды;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железные дороги и объекты железнодорожной инфраструктуры;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парки грузового автомобильного транспорта;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авторемонтные и другие предприятия по обслуживанию транспортных средств;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автозаправочные станции, объекты автосервиса, пункты проведения технического осмотра автомобилей;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вокзалы, остановочные павильоны и комплексы;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антенны сотовой, радиорелейной, спутниковой связи;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офисы, конторы, административные службы.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санитарно-защитные зоны;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скверы, бульвары;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защитные инженерные сооружения;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тротуары и пешеходные дорожки.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объекты жилищно-коммунального хозяйства;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базы для обслуживания и ремонта объектов инженерной и транспортной инфраструктур;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площадки транзитного транспорта с местами хранения автобусов, грузовиков, легковых автомобилей;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иные вспомогательные объекты для обслуживания и эксплуатации строений, сооружений и коммуникаций инженерной и транспортной инфраструктур;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.Параметры разрешенного использования земельных участков и объектов капитального строительства на территории зон инженерной инфраструктуры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Предельные параметры земельных участков и разрешенного строительства: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площадь земельных участков определяется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при разработке индивидуального проекта в соответствии с территориальными строительными нормами в зависимости от назначения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>, вместимости и других местных особенностей;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максимальный класс опасности (по санитарной классификации) объектов капитального строительства, размещаемых на территории зоны – IV;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Минимальные отступы зданий, строений, сооружений.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От красной линии (в случае, если иной показатель не установлен линией регулирования застройки) - </w:t>
      </w:r>
      <w:smartTag w:uri="urn:schemas-microsoft-com:office:smarttags" w:element="metricconverter">
        <w:smartTagPr>
          <w:attr w:name="ProductID" w:val="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Расстояния между строениями следует принимать на основе расчетов инсоляции и освещенности, учета противопожарных требований и бытовых разрывов.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Высота зданий: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максимальное количество надземных этажей зданий, строений, сооружений на территории земельного участка - 3 этажей.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максимальная высота зданий, строений, сооружений на территории земельного участка, определяется проектом, с учетом норм инсоляции, освещенности, пожарной безопасности.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вспомогательным строениям: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минимальное количество мест на погрузо-разгрузочных площадках на территории земельных участков -2;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Минимальная доля озелененной территории земельных участков – 20%;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Особые условия реализации регламента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1. Новое строительство, реконструкцию осуществлять по утвержденному проекту планировки и межевания территории.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2.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3. Строительство осуществлять в соответствии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строительными нормами и правилами и техническими регламентами.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4.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5" w:name="_Toc368331646"/>
      <w:bookmarkStart w:id="26" w:name="_Toc322108207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A70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8.</w:t>
      </w:r>
      <w:r w:rsidR="00A768C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7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Зоны рекреационного назначения (РН)</w:t>
      </w:r>
      <w:bookmarkEnd w:id="25"/>
      <w:bookmarkEnd w:id="26"/>
    </w:p>
    <w:p w:rsidR="00A70E8D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Зона предназначена для сохранения и использования природного ландшафта и земельных участков озеленения в интересах здоровья населения, сохранения и воспроизводства элементов природного ландшафта (лесов, водоемов и др.), в целях их рационального использования, туризма, отдыха, занятий физической культурой и спортом.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- озелененные массивы, скверы, парки, сады;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детские площадки, площадки для отдыха;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прогулочные аллеи, некапитальные вспомогательные строения и инфраструктура для отдыха на природе;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места для пикников, костров;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базы и дома отдыха;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пляжи. 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некапитальные строения для кафе и закусочных;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элементы благоустройства, малые архитектурные формы;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автостоянки для временного хранения индивидуальных легковых автомобилей;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культовые объекты;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сезонные обслуживающие объекты.</w:t>
      </w:r>
    </w:p>
    <w:p w:rsidR="00BF5DC7" w:rsidRPr="005B5049" w:rsidRDefault="00BC792E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A70E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Параметры разрешенного использования земельных участков и объектов капитального строительства на территории рекреационных зон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15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Дорожную сеть зон рекреации (дороги, аллеи, тропы) следует трассировать по возможности с максимальным сохранением зеленых насаждений,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0,75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(ширина полосы движения одного человека).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79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Покрытия площадок, дорожно-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тропиночной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сети в пределах зон рекреации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</w:r>
    </w:p>
    <w:p w:rsidR="00BF5DC7" w:rsidRPr="005B5049" w:rsidRDefault="002D2FC8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Особые условия реализации регламента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1. Общая площадь объектов не должны быть больше 10% площади всего земельного участка рекреационной зоны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2. Высокие требования к архитектурному облику и отделке фасадов.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7" w:name="_Toc368331647"/>
      <w:bookmarkStart w:id="28" w:name="_Toc322108208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 8.</w:t>
      </w:r>
      <w:r w:rsidR="00A768C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</w:t>
      </w:r>
      <w:r w:rsidR="00A70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Зона специального назначения (СН)</w:t>
      </w:r>
      <w:bookmarkEnd w:id="27"/>
      <w:bookmarkEnd w:id="28"/>
    </w:p>
    <w:p w:rsidR="00A70E8D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2D2FC8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В состав зон включаются участки, занятые кладбищами, скотомогильниками, захоронениями </w:t>
      </w:r>
      <w:proofErr w:type="spellStart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биоотходов</w:t>
      </w:r>
      <w:proofErr w:type="spellEnd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, объектами размещения отходов потребления и иными объектами (очистными канализационными сооружениями и иными техническими сооружениями),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режимных объектов ограниченного доступа. 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действующее кладбище, в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. с учетом расширения;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кладбища, закрытые на период консервации;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отдельные мемориальные захоронения;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скотомогильники;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полигоны ТБО;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станция аэрации;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канализационные очистные сооружения;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насосные станции;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зеленые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насаждения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выполняющие специальные функции.</w:t>
      </w:r>
    </w:p>
    <w:p w:rsidR="00BF5DC7" w:rsidRPr="005B5049" w:rsidRDefault="002D2FC8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объекты, связанные с отправлением культа;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мастерские по изготовлению и продаже ритуальных принадлежностей;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хозяйственные корпуса;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общественные туалеты;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парковки автотранспорта;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строительство и реконструкция сооружений, коммуникаций и других объектов;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другие объекты, связанные с функционированием кладбищ, полигонов ТБО.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Параметры разрешенного использования земельных участков и объектов капитального строительства на территории зон специального назначения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Параметры использования земельных участков и строительства капитальных объектов определяются индивидуально, на основании соответствующих проектов, с учетом всех норм санитарной и экологической безопасности, а также с учетом Нормативов градостроительного проектирования в Липецкой области.</w:t>
      </w:r>
    </w:p>
    <w:p w:rsidR="00BF5DC7" w:rsidRPr="005B5049" w:rsidRDefault="002D2FC8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Особые условия реализации регламента – отсутствуют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9" w:name="_Toc368331648"/>
      <w:bookmarkStart w:id="30" w:name="_Toc322108209"/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</w:t>
      </w:r>
      <w:r w:rsidR="00A70E8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8.</w:t>
      </w:r>
      <w:r w:rsidR="00A768C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9</w:t>
      </w:r>
      <w:r w:rsidRPr="005B50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 Дополнительные градостроительные регламенты в зонах с особыми условиями использования территории (ОХ)</w:t>
      </w:r>
      <w:bookmarkEnd w:id="29"/>
      <w:bookmarkEnd w:id="30"/>
    </w:p>
    <w:p w:rsidR="00A70E8D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2D2FC8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земельных участков и объектов капитального строительства, расположенных в пределах зон с особыми условиями использования территории, обозначенных на картах настоящих Правил, определяется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 </w:t>
      </w:r>
    </w:p>
    <w:p w:rsidR="00BF5DC7" w:rsidRPr="005B5049" w:rsidRDefault="002D2FC8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Земельные участки и объекты капитального строительства, которые расположены в пределах зон, обозначенных на карте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несоответствующими настоящим Правилам.</w:t>
      </w:r>
    </w:p>
    <w:p w:rsidR="00584B73" w:rsidRDefault="00584B73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Toc368331649"/>
      <w:bookmarkStart w:id="32" w:name="_Toc322108210"/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Зоны охраны объектов культурного наследия</w:t>
      </w:r>
      <w:bookmarkEnd w:id="31"/>
      <w:bookmarkEnd w:id="32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расположено несколько объектов культурного и археологического наследия: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Таблица 2. Объекты культурного наследия на территории сельского поселения</w:t>
      </w: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73"/>
        <w:gridCol w:w="4178"/>
        <w:gridCol w:w="1869"/>
      </w:tblGrid>
      <w:tr w:rsidR="00BF5DC7" w:rsidRPr="005B5049" w:rsidTr="00BF5DC7">
        <w:trPr>
          <w:trHeight w:val="5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памятника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Территориальная зона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Церковь Покрова Пресвятой Богородицы, </w:t>
            </w:r>
            <w:smartTag w:uri="urn:schemas-microsoft-com:office:smarttags" w:element="metricconverter">
              <w:smartTagPr>
                <w:attr w:name="ProductID" w:val="1826 г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1826 г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 Ольховка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 земская (II пол.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XIX века)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Лечебница ветеринарная (нач.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XX века)</w:t>
            </w:r>
            <w:proofErr w:type="gram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Управа волостная (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1912 г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Лавки торговые (XIX век)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Матренка курган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2,3 км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югу от школы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Матренка,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3,7 км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северо-востоку от церкви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с.Ольховка</w:t>
            </w:r>
            <w:proofErr w:type="spell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0,4 км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северо-западу от кургана проходит ВЛЭП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СХ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Ольховка (курганный могильник, 6 насыпей)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1,2 км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востоку-северо-востоку от церкви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льховка</w:t>
            </w:r>
            <w:proofErr w:type="spell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1,7 км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востоку-юго-востоку от школы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с.Ольховка</w:t>
            </w:r>
            <w:proofErr w:type="spell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1,7 км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северо-востоку от летнего лагеря КРС с. Ольховка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СХ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Ольховка 1 (курганный могильник)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юго-востоку от церкви с. Ольховка и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250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востоку от ЛЭП,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1500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юго-востоку от водонапорной башни 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 Ольховка.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СХ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Ольховка 2 (курганный могильник)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800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востоку от водонапорной башни села Ольховка 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восток от ЛЭП,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1200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юго-востоку от церкви 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 Ольховка.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СХ</w:t>
            </w:r>
          </w:p>
        </w:tc>
      </w:tr>
      <w:tr w:rsidR="00BF5DC7" w:rsidRPr="005B5049" w:rsidTr="00BF5DC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Ольховка 3 (курганный могильник)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0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1100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востоку от церкви 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Ольховка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25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востоку от ЛЭП,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5B504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750 м</w:t>
              </w:r>
            </w:smartTag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северо-востоку от водонапорной башни того же села.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СХ</w:t>
            </w:r>
          </w:p>
        </w:tc>
      </w:tr>
    </w:tbl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2D2FC8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8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Границы зон охраны объектов культурного наследия (памятников истории и культуры)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категорией, к которой этот объект относится.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границах охранной зоны действует особый режим использования земель, с учетом следующих требований: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-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обеспечение пожарной безопасности объекта культурного наследия и его защиты от динамических воздействий;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Toc368331650"/>
      <w:bookmarkStart w:id="34" w:name="_Toc322108211"/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Ограничения по экологическим и санитарно-гигиеническим условиям</w:t>
      </w:r>
      <w:bookmarkEnd w:id="33"/>
      <w:bookmarkEnd w:id="34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Toc368331651"/>
      <w:bookmarkStart w:id="36" w:name="_Toc322108212"/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Водоохранные зоны и прибрежные защитные полосы</w:t>
      </w:r>
      <w:bookmarkEnd w:id="35"/>
      <w:bookmarkEnd w:id="36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расположены следующие водные объекты, имеющие водоохранные зоны: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Таблица 3. Сведения о водных объектах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1484"/>
        <w:gridCol w:w="2137"/>
        <w:gridCol w:w="1923"/>
      </w:tblGrid>
      <w:tr w:rsidR="00BF5DC7" w:rsidRPr="005B5049" w:rsidTr="00BF5DC7">
        <w:trPr>
          <w:trHeight w:val="275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зона</w:t>
            </w:r>
          </w:p>
        </w:tc>
      </w:tr>
      <w:tr w:rsidR="00BF5DC7" w:rsidRPr="005B5049" w:rsidTr="00BF5DC7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F5DC7" w:rsidRPr="005B5049" w:rsidTr="00BF5DC7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айгора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F5DC7" w:rsidRPr="005B5049" w:rsidTr="00BF5DC7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Пруд "Центральный" к северу от села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Н.Матренка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DC7" w:rsidRPr="005B5049" w:rsidTr="00BF5DC7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Каскад прудов "Вороний пруд" к востоку от села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Н.Матренка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DC7" w:rsidRPr="005B5049" w:rsidTr="00BF5DC7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Каскад прудов "Мокрый Лог" к северо-востоку от села Ольховка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DC7" w:rsidRPr="005B5049" w:rsidTr="00BF5DC7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Пруд "Бараний" к юго-западу от села </w:t>
            </w:r>
            <w:proofErr w:type="spellStart"/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Н.Матренка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C7" w:rsidRPr="005B5049" w:rsidRDefault="00BF5DC7" w:rsidP="00BF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4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границах водоохранных зон запрещаются: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использование сточных вод для удобрения почв;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осуществление авиационных мер по борьбе с вредителями и болезнями растений;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истощения вод в соответствии с водным законодательством и законодательством в области охраны окружающей среды.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В границах прибрежных защитных полос наряду с вышеперечисленными ограничениями запрещаются: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распашка земель;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размещение отвалов размываемых грунтов;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выпас сельскохозяйственных животных и организация для них летних лагерей, ванн.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Toc368331652"/>
      <w:bookmarkStart w:id="38" w:name="_Toc322108213"/>
      <w:r w:rsidRPr="005B50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Зона санитарной охраны источников водоснабжения (водозаборов).</w:t>
      </w:r>
      <w:bookmarkEnd w:id="37"/>
      <w:bookmarkEnd w:id="38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Водоснабжение населения сельсовета осуществляется посредством артезианских скважин, стоящих на балансе сельсовета.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Источники водоснабжения имеют зоны санитарной охраны (ЗСО). 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Параметры зоны: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Зоны санитарной охраны 1 пояса подземных источников водоснабжения составляют </w:t>
      </w:r>
      <w:smartTag w:uri="urn:schemas-microsoft-com:office:smarttags" w:element="metricconverter">
        <w:smartTagPr>
          <w:attr w:name="ProductID" w:val="3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защищенных подземных вод; </w:t>
      </w:r>
      <w:smartTag w:uri="urn:schemas-microsoft-com:office:smarttags" w:element="metricconverter">
        <w:smartTagPr>
          <w:attr w:name="ProductID" w:val="5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защищенных подземных вод. Границы второго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пояса зоны санитарной охраны подземных источников водоснабжения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расчетом.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первого пояса запрещается: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посадка высокоствольных деревьев;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размещение жилых и общественных зданий, проживание людей;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Допускаются рубки ухода и санитарные рубки леса.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второго и третьего пояса зоны санитарной охраны поверхностных источников водоснабжения запрещается: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загрязнение территории нечистотами, мусором, навозом, промышленными отходами и др.;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размещение складов горюче-смазочных материалов, ядохимикатов и минеральных удобрений, накопителей,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шламохранилищ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и других объектов, которые могут вызвать химические загрязнения источников водоснабжения;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применение удобрений и ядохимикатов;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добыча песка и гравия из водотока или водоема, а также дноуглубительные работы;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500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, которое может привести к ухудшению качества или уменьшению количества воды источника водоснабжения;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В пределах второго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пояса зоны санитарной охраны поверхностного источника водоснабжения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_Toc368331653"/>
      <w:bookmarkStart w:id="40" w:name="_Toc322108214"/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Санитарно-защитные зоны промышленных, сельскохозяйственных и иных предприятий.</w:t>
      </w:r>
      <w:bookmarkEnd w:id="39"/>
      <w:bookmarkEnd w:id="40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сельского поселения распложены следующие производственные объекты: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в северной части села Нижняя Матренка, в границах населенного пункта, расположена территория мукомольного завода (СЗЗ </w:t>
      </w:r>
      <w:smartTag w:uri="urn:schemas-microsoft-com:office:smarttags" w:element="metricconverter">
        <w:smartTagPr>
          <w:attr w:name="ProductID" w:val="1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в северной части села Нижняя Матренка, в границах населенного пункта, расположена территория тока, складов и механических мастерских (СЗЗ </w:t>
      </w:r>
      <w:smartTag w:uri="urn:schemas-microsoft-com:office:smarttags" w:element="metricconverter">
        <w:smartTagPr>
          <w:attr w:name="ProductID" w:val="1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северо-востоку от села Ольховка, на землях сельскохозяйственного назначения, расположена территория тока, складов и механических мастерских (СЗЗ – </w:t>
      </w:r>
      <w:smartTag w:uri="urn:schemas-microsoft-com:office:smarttags" w:element="metricconverter">
        <w:smartTagPr>
          <w:attr w:name="ProductID" w:val="1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Кроме того, в сельсовете находятся следующие территории, на которых в будущем возможна организация сельскохозяйственного или промышленного производства: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северо-востоку от села Нижняя Матренка,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</w:t>
      </w:r>
      <w:smartTag w:uri="urn:schemas-microsoft-com:office:smarttags" w:element="metricconverter">
        <w:smartTagPr>
          <w:attr w:name="ProductID" w:val="1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юго-востоку от села Нижняя Матренка, на землях сельскохозяйственного назначения, расположена территория бывшей животноводческой фермы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(коровники), которая в настоящее время не используется (СЗЗ возможных будущих объектов на данной территории до </w:t>
      </w:r>
      <w:smartTag w:uri="urn:schemas-microsoft-com:office:smarttags" w:element="metricconverter">
        <w:smartTagPr>
          <w:attr w:name="ProductID" w:val="3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западу от села Нижняя Матренка,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</w:t>
      </w:r>
      <w:smartTag w:uri="urn:schemas-microsoft-com:office:smarttags" w:element="metricconverter">
        <w:smartTagPr>
          <w:attr w:name="ProductID" w:val="3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северо-востоку от села Ольховка,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</w:t>
      </w:r>
      <w:smartTag w:uri="urn:schemas-microsoft-com:office:smarttags" w:element="metricconverter">
        <w:smartTagPr>
          <w:attr w:name="ProductID" w:val="3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юго-востоку от села Ольховка,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</w:t>
      </w:r>
      <w:smartTag w:uri="urn:schemas-microsoft-com:office:smarttags" w:element="metricconverter">
        <w:smartTagPr>
          <w:attr w:name="ProductID" w:val="3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западу от деревни Красная Рада,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</w:t>
      </w:r>
      <w:smartTag w:uri="urn:schemas-microsoft-com:office:smarttags" w:element="metricconverter">
        <w:smartTagPr>
          <w:attr w:name="ProductID" w:val="1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Размеры и границы санитарно-защитной зоны определяются в проекте санитарно-защитной зоны, с учётом объёма производства, используемых технологий и т.д. При отсутствии разработанного проекта применяется универсальная зона, определённая СанПиН 2.2.1/2.1.1.1200-03 «Санитарно-защитные зоны и санитарная классификация предприятий, сооружений и иных объектов».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далее – промышленная площадка, до ее внешней границы в заданном направлении.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характеристики выбросов для промышленного объекта и производства, по которым ведущим для установления санитарно-защитной зоны фактором является химическое загрязнение атмосферного воздуха, размер санитарно-защитной зоны устанавливается от границы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промплощадки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и/или от источника выбросов загрязняющих веществ.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СанПиН 2.2.1/2.1.1.1200-03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объекты и производства первого класса – </w:t>
      </w:r>
      <w:smartTag w:uri="urn:schemas-microsoft-com:office:smarttags" w:element="metricconverter">
        <w:smartTagPr>
          <w:attr w:name="ProductID" w:val="100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объекты и производства второго класса – </w:t>
      </w:r>
      <w:smartTag w:uri="urn:schemas-microsoft-com:office:smarttags" w:element="metricconverter">
        <w:smartTagPr>
          <w:attr w:name="ProductID" w:val="50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500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объекты и производства третьего класса – </w:t>
      </w:r>
      <w:smartTag w:uri="urn:schemas-microsoft-com:office:smarttags" w:element="metricconverter">
        <w:smartTagPr>
          <w:attr w:name="ProductID" w:val="30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объекты и производства четвертого класса – </w:t>
      </w:r>
      <w:smartTag w:uri="urn:schemas-microsoft-com:office:smarttags" w:element="metricconverter">
        <w:smartTagPr>
          <w:attr w:name="ProductID" w:val="10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объекты и производства пятого класса – </w:t>
      </w:r>
      <w:smartTag w:uri="urn:schemas-microsoft-com:office:smarttags" w:element="metricconverter">
        <w:smartTagPr>
          <w:attr w:name="ProductID" w:val="5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территории санитарно-защитной зоны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размещать в границах санитарно-защитной зоны промышленного объекта или производства нежилые помещения для персонала, здания управления, здания административного назначения, лаборатории, объекты здравоохранения,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нефте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- и газопроводы, артезианские скважины для технического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Toc368331654"/>
      <w:bookmarkStart w:id="42" w:name="_Toc322108215"/>
      <w:r w:rsidRPr="005B50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Санитарно-защитные зоны кладбищ</w:t>
      </w:r>
      <w:bookmarkEnd w:id="41"/>
      <w:bookmarkEnd w:id="42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расположены три кладбища: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в северной части села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Нижняя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Матренка, в границах населенного пункта, расположены два кладбища, площадью </w:t>
      </w:r>
      <w:smartTag w:uri="urn:schemas-microsoft-com:office:smarttags" w:element="metricconverter">
        <w:smartTagPr>
          <w:attr w:name="ProductID" w:val="0,6 га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0,6 га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(западнее) и </w:t>
      </w:r>
      <w:smartTag w:uri="urn:schemas-microsoft-com:office:smarttags" w:element="metricconverter">
        <w:smartTagPr>
          <w:attr w:name="ProductID" w:val="1,4 га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1,4 га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(восточнее),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к востоку от села Ольховка, на землях сельскохозяйственного назначения, расположено кладбище площадью </w:t>
      </w:r>
      <w:smartTag w:uri="urn:schemas-microsoft-com:office:smarttags" w:element="metricconverter">
        <w:smartTagPr>
          <w:attr w:name="ProductID" w:val="2,5 га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2,5 га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Параметры зоны: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Сельские и закрытые кладбища могут находиться на расстоянии: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50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жилых, общественных зданий, спортивно-оздоровительных зон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 водозаборных сооружений централизованного источника водоснабжения населения - не менее </w:t>
      </w:r>
      <w:smartTag w:uri="urn:schemas-microsoft-com:office:smarttags" w:element="metricconverter">
        <w:smartTagPr>
          <w:attr w:name="ProductID" w:val="100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1000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водоисточника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и времени фильтрации;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границ селитебной территории.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Ограничения деятельности: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В санитарно-защитных зонах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лечебно-оздоровительные учреждения общего пользования.</w:t>
      </w:r>
      <w:proofErr w:type="gramEnd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Toc368331655"/>
      <w:bookmarkStart w:id="44" w:name="_Toc322108216"/>
      <w:r w:rsidRPr="005B50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Санитарно-защитные зоны скотомогильников.</w:t>
      </w:r>
      <w:bookmarkEnd w:id="43"/>
      <w:bookmarkEnd w:id="44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_Toc322108217"/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скотомогильники и места захоронения биологических отходов отсутствуют.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_Toc368331656"/>
      <w:r w:rsidRPr="005B50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Санитарно-защитные зоны участков складирования ТБО.</w:t>
      </w:r>
      <w:bookmarkEnd w:id="45"/>
      <w:bookmarkEnd w:id="46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_Toc322108218"/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участки складирования ТБО отсутствуют.</w:t>
      </w:r>
    </w:p>
    <w:p w:rsidR="00EE78B2" w:rsidRDefault="00EE78B2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_Toc368331657"/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768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Ограничения по требованиям охраны инженерно-транспортных коммуникаций</w:t>
      </w:r>
      <w:bookmarkEnd w:id="47"/>
      <w:bookmarkEnd w:id="48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_Toc368331658"/>
      <w:bookmarkStart w:id="50" w:name="_Toc322108219"/>
      <w:r w:rsidRPr="005B50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Полоса отвода и придорожная полоса автомобильных дорог</w:t>
      </w:r>
      <w:bookmarkEnd w:id="49"/>
      <w:bookmarkEnd w:id="50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Под полосой отвода автодороги понимается совокупность земельных участков, предоставленных в установленном порядке для размещения конструктивных элементов и инженерных сооружений такой дороги, а также зданий, строений, сооружений, защитных и декоративных лесонасаждений и устройств, других объектов, имеющих специальное назначение по обслуживанию дороги и являющихся ее неотъемлемой технологической частью.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пятидесяти метров - для автомобильных дорог четвертой категорий;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двадцати пяти метров - для автомобильных дорог пятой категории.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Ограничения деятельности: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строительство жилых и общественных зданий, складов;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проведение строительных, геологоразведочных, топографических, горных и изыскательских работ, а также устройство наземных сооружений;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размещение зданий, строений, сооружений, устройств и объектов, не связанных с обслуживанием автомобильной дороги, ее строительством, реконструкцией, ремонтом, содержанием и эксплуатацией;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установка рекламных конструкций, не соответствующих требованиям технического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1" w:name="_Toc368331659"/>
      <w:r w:rsidRPr="005B5049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D2FC8">
        <w:rPr>
          <w:rFonts w:ascii="Times New Roman" w:eastAsia="Calibri" w:hAnsi="Times New Roman" w:cs="Times New Roman"/>
          <w:sz w:val="28"/>
          <w:szCs w:val="28"/>
        </w:rPr>
        <w:t>)</w:t>
      </w:r>
      <w:r w:rsidRPr="005B5049">
        <w:rPr>
          <w:rFonts w:ascii="Times New Roman" w:eastAsia="Calibri" w:hAnsi="Times New Roman" w:cs="Times New Roman"/>
          <w:sz w:val="28"/>
          <w:szCs w:val="28"/>
        </w:rPr>
        <w:t xml:space="preserve"> Охранные зоны магистральных газопроводов и газораспределительных сетей.</w:t>
      </w:r>
      <w:bookmarkEnd w:id="51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2" w:name="_Toc319589735"/>
      <w:bookmarkStart w:id="53" w:name="_Toc332291401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территорию сельского поселения с севера и востока заходят межпоселковые газопроводы высокого давления (диаметр труб </w:t>
      </w:r>
      <w:smartTag w:uri="urn:schemas-microsoft-com:office:smarttags" w:element="metricconverter">
        <w:smartTagPr>
          <w:attr w:name="ProductID" w:val="159 м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159 мм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, давление 12 кгс/см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>) и идут к ГРП, расположенным в населенных пунктах.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Ширина охранных зон газо- и нефтепродуктопроводов, принята в соответствие с "Правилами охраны магистральных трубопроводов" утвержденными постановлением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России №9 от 22.04.1992 и "Правилами охраны газораспределительных сетей" утвержденными постановлением правительства РФ №878 от 20.11.2000 и нанесена на схемах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25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осей трубопроводов в каждую сторону наряду с зоной минимально допустимых расстояний от оси трубопроводов до населенных пунктов, которая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имеет размеры 100 и </w:t>
      </w:r>
      <w:smartTag w:uri="urn:schemas-microsoft-com:office:smarttags" w:element="metricconverter">
        <w:smartTagPr>
          <w:attr w:name="ProductID" w:val="20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200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для магистральных газопроводов.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Для газораспределительных сетей устанавливаются следующие охранные зоны: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а) 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 каждой стороны газопровода;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- с противоположной стороны;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г) 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е) 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 метров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6 метров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smartTag w:uri="urn:schemas-microsoft-com:office:smarttags" w:element="metricconverter">
        <w:smartTagPr>
          <w:attr w:name="ProductID" w:val="3 метра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 метра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_Toc368331660"/>
      <w:r w:rsidRPr="005B50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Охранные зоны объектов электросетевого хозяйства</w:t>
      </w:r>
      <w:bookmarkEnd w:id="52"/>
      <w:bookmarkEnd w:id="53"/>
      <w:bookmarkEnd w:id="54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_Toc332291402"/>
      <w:bookmarkStart w:id="56" w:name="_Toc319589736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Электроснабжение населенных пунктов сельского поселения осуществляется от двух электроподстанций, расположенных за границами сельсовета, от которых по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населенные пункты получают электроэнергию.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Также по территории сельского поселения транзитом проходят две высоковольтные линии электропередач: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35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ПС 110/35/10 "Хворостянка" – ПС 35/10 "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Береняговка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",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500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"Отпайка на НВАЭС от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Балашовская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>-Западная" (сверхвысокого класса напряжений).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горизонтали, и согласно Правилам установления охранных зон объектов электросетевого хозяйства и особых условий использования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земельных участков, расположенных в границах таких зон (утв. постановлением Правительства РФ от 24 февраля </w:t>
      </w:r>
      <w:smartTag w:uri="urn:schemas-microsoft-com:office:smarttags" w:element="metricconverter">
        <w:smartTagPr>
          <w:attr w:name="ProductID" w:val="2009 г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 № 160), для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линий электропередач напряжением 10кВ принимается по </w:t>
      </w:r>
      <w:smartTag w:uri="urn:schemas-microsoft-com:office:smarttags" w:element="metricconverter">
        <w:smartTagPr>
          <w:attr w:name="ProductID" w:val="1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 каждую сторону, для линий электропередач напряжением 35кВ принимается по </w:t>
      </w:r>
      <w:smartTag w:uri="urn:schemas-microsoft-com:office:smarttags" w:element="metricconverter">
        <w:smartTagPr>
          <w:attr w:name="ProductID" w:val="15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15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 каждую сторону, для линий электропередач напряжением 500кВ принимается по </w:t>
      </w:r>
      <w:smartTag w:uri="urn:schemas-microsoft-com:office:smarttags" w:element="metricconverter">
        <w:smartTagPr>
          <w:attr w:name="ProductID" w:val="30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30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 каждую сторону. Для </w:t>
      </w:r>
      <w:proofErr w:type="spellStart"/>
      <w:r w:rsidRPr="005B5049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линий электропередач напряжением 0,4кВ принимается по </w:t>
      </w:r>
      <w:smartTag w:uri="urn:schemas-microsoft-com:office:smarttags" w:element="metricconverter">
        <w:smartTagPr>
          <w:attr w:name="ProductID" w:val="2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 каждую сторону.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_Toc368331661"/>
      <w:r w:rsidRPr="005B50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Охранные зоны и санитарно-защитные зоны линий связи</w:t>
      </w:r>
      <w:bookmarkEnd w:id="55"/>
      <w:bookmarkEnd w:id="56"/>
      <w:bookmarkEnd w:id="57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>Согласно Правил</w:t>
      </w:r>
      <w:proofErr w:type="gramEnd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охраны линий и сооружений связи Российской Федерации, утвержденных постановлением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. N 578; СанПиН 2.1.8/2.2.4.1383-03: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трассах кабельных и воздушных линий связи и линий радиофикации устанавливаются охранные зоны: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метра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с каждой стороны;</w:t>
      </w:r>
      <w:proofErr w:type="gramEnd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3 метра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и от контуров заземления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метра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Уровни электромагнитных излучений не должны превышать предельно допустимые уровни (ПДУ) согласно приложению 1 к СанПиН 2.1.8/2.2.4.1383-03. Границы санитарно-защитных зон определяются на высоте </w:t>
      </w:r>
      <w:smartTag w:uri="urn:schemas-microsoft-com:office:smarttags" w:element="metricconverter">
        <w:smartTagPr>
          <w:attr w:name="ProductID" w:val="2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от поверхности земли по ПДУ.</w:t>
      </w:r>
    </w:p>
    <w:p w:rsidR="00EE78B2" w:rsidRDefault="00EE78B2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_Toc368331662"/>
      <w:bookmarkStart w:id="59" w:name="_Toc339357884"/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584B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Особо охраняемые природные территории</w:t>
      </w:r>
      <w:bookmarkEnd w:id="58"/>
      <w:bookmarkEnd w:id="59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отсутствуют особо охраняемые природные территории.</w:t>
      </w:r>
    </w:p>
    <w:p w:rsidR="00EE78B2" w:rsidRDefault="00EE78B2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_Toc327962768"/>
      <w:bookmarkStart w:id="61" w:name="_Toc368331663"/>
      <w:bookmarkStart w:id="62" w:name="_Toc339357885"/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584B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Публичные сервитуты</w:t>
      </w:r>
      <w:bookmarkEnd w:id="60"/>
      <w:bookmarkEnd w:id="61"/>
      <w:bookmarkEnd w:id="62"/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настоящее время зоны публичных сервитутов в сельском поселении не установлены.</w:t>
      </w:r>
    </w:p>
    <w:p w:rsidR="00EE78B2" w:rsidRDefault="00EE78B2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_Toc368331664"/>
      <w:bookmarkStart w:id="64" w:name="_Toc339288647"/>
    </w:p>
    <w:p w:rsidR="00BF5DC7" w:rsidRPr="005B5049" w:rsidRDefault="00A70E8D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EE78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2FC8">
        <w:rPr>
          <w:rFonts w:ascii="Times New Roman" w:eastAsia="Times New Roman" w:hAnsi="Times New Roman" w:cs="Times New Roman"/>
          <w:sz w:val="28"/>
          <w:szCs w:val="28"/>
        </w:rPr>
        <w:t>.9</w:t>
      </w:r>
      <w:r w:rsidR="00BF5DC7" w:rsidRPr="005B5049">
        <w:rPr>
          <w:rFonts w:ascii="Times New Roman" w:eastAsia="Times New Roman" w:hAnsi="Times New Roman" w:cs="Times New Roman"/>
          <w:sz w:val="28"/>
          <w:szCs w:val="28"/>
        </w:rPr>
        <w:t>. Ограничения использования земельных участков и объектов капитального строительства в зонах затопления 1% обеспеченности паводковыми водами</w:t>
      </w:r>
      <w:bookmarkEnd w:id="63"/>
      <w:bookmarkEnd w:id="64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зона затопления паводком 1% обеспеченности (зона затопления прибрежных территорий речными паводками повторяемостью один раз в 100 лет) в границах населенных пунктов не зафиксирована (согласно данных </w:t>
      </w:r>
      <w:r w:rsidRPr="005B5049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 "Паспортизация населенных пунктов по предупреждению чрезвычайных ситуаций от затопления и подтопления в Липецкой области").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Границы зоны затопления паводком 1% обеспеченности указаны на "Карте территорий, подверженных риску чрезвычайных ситуаций в сельском поселении".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В границах зон затопления 1% обеспеченности паводковыми водами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(намыва), обвалования грунтом и иными способами.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Инженерная подготовка территории проводится в соответствии со следующими требованиями: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-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5B5049"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выше расчетного горизонта высоких вод с учетом высоты волны при ветровом нагоне;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</w:t>
      </w:r>
      <w:proofErr w:type="gramStart"/>
      <w:r w:rsidRPr="005B504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- за расчетный горизонт высоких вод следует принимать отметку наивысшего уровня воды повторяемостью один раз в 100 лет - для территорий, застроенных или подлежащих застройке жилыми и общественными зданиями.</w:t>
      </w:r>
    </w:p>
    <w:p w:rsidR="00BF5DC7" w:rsidRPr="005B5049" w:rsidRDefault="00BF5DC7" w:rsidP="00BF5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sz w:val="28"/>
          <w:szCs w:val="28"/>
        </w:rPr>
        <w:t>Без проведения мероприятий по инженерной подготовке территории разрешается использование территории в рекреационных целях.</w:t>
      </w:r>
    </w:p>
    <w:p w:rsidR="00BF5DC7" w:rsidRPr="005B5049" w:rsidRDefault="00BF5DC7" w:rsidP="00BF5D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361A" w:rsidRPr="005B5049" w:rsidRDefault="000C361A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361A" w:rsidRPr="005B5049" w:rsidRDefault="000C361A" w:rsidP="00B53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D64" w:rsidRPr="005B5049" w:rsidRDefault="00B53D64" w:rsidP="00B5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сельского поселения</w:t>
      </w:r>
    </w:p>
    <w:p w:rsidR="00B53D64" w:rsidRPr="005B5049" w:rsidRDefault="00B53D64" w:rsidP="00DE3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Нижнематренский сельсовет                             </w:t>
      </w:r>
      <w:r w:rsidR="00EE7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E7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В.В.</w:t>
      </w:r>
      <w:r w:rsidR="00EE7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Батышкин</w:t>
      </w:r>
    </w:p>
    <w:p w:rsidR="00E41FDA" w:rsidRPr="005B5049" w:rsidRDefault="00E41FDA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FDA" w:rsidRPr="005B5049" w:rsidRDefault="00E41FDA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5B5049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2CF4" w:rsidRPr="005B5049" w:rsidSect="0025363F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17D4D"/>
    <w:rsid w:val="000C361A"/>
    <w:rsid w:val="000E4F03"/>
    <w:rsid w:val="000F3386"/>
    <w:rsid w:val="000F7B2E"/>
    <w:rsid w:val="001A0ACF"/>
    <w:rsid w:val="001F3BAD"/>
    <w:rsid w:val="001F4378"/>
    <w:rsid w:val="001F638D"/>
    <w:rsid w:val="0024430C"/>
    <w:rsid w:val="00250D40"/>
    <w:rsid w:val="0025363F"/>
    <w:rsid w:val="00254402"/>
    <w:rsid w:val="002B035E"/>
    <w:rsid w:val="002B09B9"/>
    <w:rsid w:val="002B0C08"/>
    <w:rsid w:val="002C4310"/>
    <w:rsid w:val="002D2FC8"/>
    <w:rsid w:val="002F33FE"/>
    <w:rsid w:val="003350CE"/>
    <w:rsid w:val="003B0E88"/>
    <w:rsid w:val="003B754C"/>
    <w:rsid w:val="003D7A7D"/>
    <w:rsid w:val="003E2CF4"/>
    <w:rsid w:val="00436AD2"/>
    <w:rsid w:val="00465431"/>
    <w:rsid w:val="00494B73"/>
    <w:rsid w:val="00496B7D"/>
    <w:rsid w:val="00496D2C"/>
    <w:rsid w:val="004D2B34"/>
    <w:rsid w:val="005150DB"/>
    <w:rsid w:val="0051535D"/>
    <w:rsid w:val="005334E7"/>
    <w:rsid w:val="00557DD9"/>
    <w:rsid w:val="00584B73"/>
    <w:rsid w:val="005B5049"/>
    <w:rsid w:val="005C35F0"/>
    <w:rsid w:val="005F2394"/>
    <w:rsid w:val="00616642"/>
    <w:rsid w:val="006B3A36"/>
    <w:rsid w:val="006C7D0D"/>
    <w:rsid w:val="00724980"/>
    <w:rsid w:val="0074598B"/>
    <w:rsid w:val="00775124"/>
    <w:rsid w:val="007C0A02"/>
    <w:rsid w:val="007F22C2"/>
    <w:rsid w:val="00801CFA"/>
    <w:rsid w:val="00820566"/>
    <w:rsid w:val="00850557"/>
    <w:rsid w:val="00882C5D"/>
    <w:rsid w:val="008924CD"/>
    <w:rsid w:val="00907514"/>
    <w:rsid w:val="00930C32"/>
    <w:rsid w:val="00946749"/>
    <w:rsid w:val="00980F8B"/>
    <w:rsid w:val="009849A1"/>
    <w:rsid w:val="00A32E87"/>
    <w:rsid w:val="00A46D2D"/>
    <w:rsid w:val="00A55BF3"/>
    <w:rsid w:val="00A70E8D"/>
    <w:rsid w:val="00A768C6"/>
    <w:rsid w:val="00AC308A"/>
    <w:rsid w:val="00AD3298"/>
    <w:rsid w:val="00AE2A85"/>
    <w:rsid w:val="00AF0E21"/>
    <w:rsid w:val="00AF49F7"/>
    <w:rsid w:val="00B0138C"/>
    <w:rsid w:val="00B53D64"/>
    <w:rsid w:val="00BC792E"/>
    <w:rsid w:val="00BF5DC7"/>
    <w:rsid w:val="00C00929"/>
    <w:rsid w:val="00C0418F"/>
    <w:rsid w:val="00C05DAE"/>
    <w:rsid w:val="00C12C73"/>
    <w:rsid w:val="00C17011"/>
    <w:rsid w:val="00C701D2"/>
    <w:rsid w:val="00C758E8"/>
    <w:rsid w:val="00C85CEB"/>
    <w:rsid w:val="00CF48C5"/>
    <w:rsid w:val="00D33732"/>
    <w:rsid w:val="00D418ED"/>
    <w:rsid w:val="00D759B6"/>
    <w:rsid w:val="00DC35B1"/>
    <w:rsid w:val="00DD7CAC"/>
    <w:rsid w:val="00DE3C07"/>
    <w:rsid w:val="00DF5195"/>
    <w:rsid w:val="00E173E9"/>
    <w:rsid w:val="00E33223"/>
    <w:rsid w:val="00E41FDA"/>
    <w:rsid w:val="00EE78B2"/>
    <w:rsid w:val="00F1130E"/>
    <w:rsid w:val="00F42BD0"/>
    <w:rsid w:val="00F72CEE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B28-719F-4DB7-9438-9805939C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12527</Words>
  <Characters>71405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2015-12-31T06:03:00Z</cp:lastPrinted>
  <dcterms:created xsi:type="dcterms:W3CDTF">2014-09-19T14:48:00Z</dcterms:created>
  <dcterms:modified xsi:type="dcterms:W3CDTF">2020-02-04T08:28:00Z</dcterms:modified>
</cp:coreProperties>
</file>