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F62E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267F10"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114AA6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95056E" w:rsidRPr="0095056E">
        <w:rPr>
          <w:rFonts w:eastAsia="Calibri"/>
          <w:sz w:val="28"/>
          <w:szCs w:val="28"/>
        </w:rPr>
        <w:t xml:space="preserve">-я сессия  </w:t>
      </w:r>
      <w:r w:rsidR="0095056E" w:rsidRPr="0095056E">
        <w:rPr>
          <w:rFonts w:eastAsia="Calibri"/>
          <w:sz w:val="28"/>
          <w:szCs w:val="28"/>
          <w:lang w:val="en-US"/>
        </w:rPr>
        <w:t>VI</w:t>
      </w:r>
      <w:r w:rsidR="0095056E"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114AA6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6445F">
        <w:rPr>
          <w:rFonts w:eastAsia="Calibri"/>
          <w:sz w:val="28"/>
          <w:szCs w:val="28"/>
        </w:rPr>
        <w:t>9</w:t>
      </w:r>
      <w:r w:rsidR="0095056E" w:rsidRPr="0095056E">
        <w:rPr>
          <w:rFonts w:eastAsia="Calibri"/>
          <w:sz w:val="28"/>
          <w:szCs w:val="28"/>
        </w:rPr>
        <w:t>.0</w:t>
      </w:r>
      <w:r w:rsidR="0095056E">
        <w:rPr>
          <w:rFonts w:eastAsia="Calibri"/>
          <w:sz w:val="28"/>
          <w:szCs w:val="28"/>
        </w:rPr>
        <w:t>4</w:t>
      </w:r>
      <w:r w:rsidR="00005904">
        <w:rPr>
          <w:rFonts w:eastAsia="Calibri"/>
          <w:sz w:val="28"/>
          <w:szCs w:val="28"/>
        </w:rPr>
        <w:t>.2022</w:t>
      </w:r>
      <w:r w:rsidR="0095056E" w:rsidRPr="0095056E">
        <w:rPr>
          <w:rFonts w:eastAsia="Calibri"/>
          <w:sz w:val="28"/>
          <w:szCs w:val="28"/>
        </w:rPr>
        <w:t>г.                      с. Нижняя Матренк</w:t>
      </w:r>
      <w:r w:rsidR="00005904">
        <w:rPr>
          <w:rFonts w:eastAsia="Calibri"/>
          <w:sz w:val="28"/>
          <w:szCs w:val="28"/>
        </w:rPr>
        <w:t xml:space="preserve">а                            № </w:t>
      </w:r>
      <w:r>
        <w:rPr>
          <w:rFonts w:eastAsia="Calibri"/>
          <w:sz w:val="28"/>
          <w:szCs w:val="28"/>
        </w:rPr>
        <w:t>91</w:t>
      </w:r>
      <w:r w:rsidR="0095056E" w:rsidRPr="0095056E">
        <w:rPr>
          <w:rFonts w:eastAsia="Calibri"/>
          <w:sz w:val="28"/>
          <w:szCs w:val="28"/>
        </w:rPr>
        <w:t xml:space="preserve"> –рс</w:t>
      </w:r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005904">
        <w:rPr>
          <w:b/>
          <w:sz w:val="28"/>
          <w:szCs w:val="28"/>
        </w:rPr>
        <w:t xml:space="preserve"> сельсовет за 2021</w:t>
      </w:r>
      <w:r w:rsidR="00573983">
        <w:rPr>
          <w:b/>
          <w:sz w:val="28"/>
          <w:szCs w:val="28"/>
        </w:rPr>
        <w:t xml:space="preserve"> год.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Рассмотрев представленный администрацией сельского поселения проект решения «Об  исполнении бюджета сельского поселения Н</w:t>
      </w:r>
      <w:r w:rsidR="00005904">
        <w:rPr>
          <w:sz w:val="28"/>
          <w:szCs w:val="28"/>
        </w:rPr>
        <w:t>ижнематренский сельсовет за 2021</w:t>
      </w:r>
      <w:r w:rsidRPr="00104A1E">
        <w:rPr>
          <w:sz w:val="28"/>
          <w:szCs w:val="28"/>
        </w:rPr>
        <w:t xml:space="preserve"> год», 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7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  Совет депутатов  сельского поселения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</w:t>
      </w:r>
      <w:r w:rsidR="00005904">
        <w:rPr>
          <w:sz w:val="28"/>
          <w:szCs w:val="28"/>
        </w:rPr>
        <w:t>ельсовет за 2021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Нижнематренский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r w:rsidR="00D57C5B" w:rsidRPr="00104A1E">
        <w:rPr>
          <w:sz w:val="28"/>
          <w:szCs w:val="28"/>
        </w:rPr>
        <w:t>С.Н.Бирюков</w:t>
      </w:r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095670" w:rsidRDefault="00095670" w:rsidP="00953840">
      <w:pPr>
        <w:tabs>
          <w:tab w:val="left" w:pos="8460"/>
        </w:tabs>
      </w:pPr>
    </w:p>
    <w:p w:rsidR="00CB7257" w:rsidRDefault="00CB7257" w:rsidP="00953840">
      <w:pPr>
        <w:tabs>
          <w:tab w:val="left" w:pos="8460"/>
        </w:tabs>
      </w:pPr>
    </w:p>
    <w:p w:rsidR="00114AA6" w:rsidRDefault="00114AA6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114AA6">
        <w:t>1</w:t>
      </w:r>
      <w:r w:rsidR="00E6445F">
        <w:t>9</w:t>
      </w:r>
      <w:r w:rsidR="00965374">
        <w:t>.0</w:t>
      </w:r>
      <w:r w:rsidR="00A848B6">
        <w:t>4</w:t>
      </w:r>
      <w:r w:rsidR="00825D8E">
        <w:t>.</w:t>
      </w:r>
      <w:r w:rsidR="00005904">
        <w:t>2022</w:t>
      </w:r>
      <w:r w:rsidR="00953840">
        <w:t xml:space="preserve">г. </w:t>
      </w:r>
      <w:r w:rsidR="00F82566">
        <w:t>№</w:t>
      </w:r>
      <w:r w:rsidR="00005904">
        <w:t xml:space="preserve"> </w:t>
      </w:r>
      <w:r w:rsidR="00114AA6">
        <w:t>91</w:t>
      </w:r>
      <w:r w:rsidR="00953840" w:rsidRPr="0042125F">
        <w:t xml:space="preserve"> </w:t>
      </w:r>
      <w:r w:rsidR="00953840">
        <w:t>-рс</w:t>
      </w:r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005904">
        <w:rPr>
          <w:b/>
          <w:sz w:val="28"/>
          <w:szCs w:val="28"/>
        </w:rPr>
        <w:t>021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005904">
        <w:rPr>
          <w:sz w:val="28"/>
          <w:szCs w:val="28"/>
        </w:rPr>
        <w:t>лнения сельского бюджета за 2021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F62E4E">
        <w:rPr>
          <w:sz w:val="28"/>
          <w:szCs w:val="28"/>
        </w:rPr>
        <w:t xml:space="preserve"> сумме 7 041 615,07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F62E4E">
        <w:rPr>
          <w:rFonts w:eastAsia="Calibri"/>
          <w:bCs/>
          <w:sz w:val="28"/>
          <w:szCs w:val="28"/>
        </w:rPr>
        <w:t>6 664 205,21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r w:rsidR="00060700">
        <w:rPr>
          <w:sz w:val="28"/>
          <w:szCs w:val="28"/>
        </w:rPr>
        <w:t>,</w:t>
      </w:r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 xml:space="preserve">с превышением </w:t>
      </w:r>
      <w:r w:rsidR="00206A21">
        <w:rPr>
          <w:sz w:val="28"/>
          <w:szCs w:val="28"/>
        </w:rPr>
        <w:t>доходов над расходами</w:t>
      </w:r>
      <w:r w:rsidR="00320424">
        <w:rPr>
          <w:sz w:val="28"/>
          <w:szCs w:val="28"/>
        </w:rPr>
        <w:t xml:space="preserve"> </w:t>
      </w:r>
      <w:r w:rsidR="00206A21">
        <w:rPr>
          <w:sz w:val="28"/>
          <w:szCs w:val="28"/>
        </w:rPr>
        <w:t>(про</w:t>
      </w:r>
      <w:r w:rsidR="005A23B1">
        <w:rPr>
          <w:sz w:val="28"/>
          <w:szCs w:val="28"/>
        </w:rPr>
        <w:t xml:space="preserve">фицитом) в сумме </w:t>
      </w:r>
      <w:r w:rsidR="00206A21">
        <w:rPr>
          <w:sz w:val="28"/>
          <w:szCs w:val="28"/>
        </w:rPr>
        <w:t>377 409,86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114AA6">
      <w:pPr>
        <w:pStyle w:val="a5"/>
        <w:jc w:val="left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206A21">
        <w:rPr>
          <w:b w:val="0"/>
          <w:szCs w:val="28"/>
        </w:rPr>
        <w:t>жета сельского поселения на 2021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862D41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</w:t>
      </w:r>
    </w:p>
    <w:p w:rsidR="00953840" w:rsidRPr="00104A1E" w:rsidRDefault="00953840" w:rsidP="006B3531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Глава 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>Нижнематренский сельсовет</w:t>
      </w:r>
      <w:r w:rsidRPr="00104A1E">
        <w:rPr>
          <w:sz w:val="28"/>
          <w:szCs w:val="28"/>
        </w:rPr>
        <w:tab/>
      </w:r>
      <w:r w:rsidRPr="00104A1E">
        <w:rPr>
          <w:sz w:val="28"/>
          <w:szCs w:val="28"/>
        </w:rPr>
        <w:tab/>
      </w:r>
      <w:r w:rsidR="00825D8E" w:rsidRPr="00104A1E">
        <w:rPr>
          <w:sz w:val="28"/>
          <w:szCs w:val="28"/>
        </w:rPr>
        <w:t xml:space="preserve">           </w:t>
      </w:r>
      <w:r w:rsidRPr="00104A1E">
        <w:rPr>
          <w:sz w:val="28"/>
          <w:szCs w:val="28"/>
        </w:rPr>
        <w:t xml:space="preserve">        </w:t>
      </w:r>
      <w:r w:rsidR="00825D8E" w:rsidRPr="00104A1E">
        <w:rPr>
          <w:sz w:val="28"/>
          <w:szCs w:val="28"/>
        </w:rPr>
        <w:t>В.В.Батышкин</w:t>
      </w:r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095670" w:rsidRDefault="0009567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</w:t>
      </w:r>
      <w:r w:rsidR="00494435">
        <w:rPr>
          <w:rFonts w:eastAsia="Calibri"/>
        </w:rPr>
        <w:t xml:space="preserve">    Российской Федерации на 2021</w:t>
      </w:r>
      <w:r w:rsidRPr="00171F18">
        <w:rPr>
          <w:rFonts w:eastAsia="Calibri"/>
        </w:rPr>
        <w:t xml:space="preserve">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</w:t>
      </w:r>
      <w:r w:rsidR="00494435">
        <w:rPr>
          <w:rFonts w:eastAsia="Calibri"/>
        </w:rPr>
        <w:t xml:space="preserve">            плановый период 2022 и 2023</w:t>
      </w:r>
      <w:r w:rsidRPr="00171F18">
        <w:rPr>
          <w:rFonts w:eastAsia="Calibri"/>
        </w:rPr>
        <w:t xml:space="preserve">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</w:t>
      </w:r>
      <w:r w:rsidR="00494435">
        <w:rPr>
          <w:rFonts w:eastAsia="Calibri"/>
          <w:b/>
          <w:sz w:val="25"/>
          <w:szCs w:val="25"/>
        </w:rPr>
        <w:t>ЖЕТА СЕЛЬСКОГО ПОСЕЛЕНИЯ НА 2021</w:t>
      </w:r>
      <w:r w:rsidRPr="00171F18">
        <w:rPr>
          <w:rFonts w:eastAsia="Calibri"/>
          <w:b/>
          <w:sz w:val="25"/>
          <w:szCs w:val="25"/>
        </w:rPr>
        <w:t xml:space="preserve"> ГОД И НА ПЛАНОВЫЙ      </w:t>
      </w:r>
      <w:r w:rsidR="00494435">
        <w:rPr>
          <w:rFonts w:eastAsia="Calibri"/>
          <w:b/>
          <w:sz w:val="25"/>
          <w:szCs w:val="25"/>
        </w:rPr>
        <w:t xml:space="preserve">   ПЕРИОД 2022 и 2023</w:t>
      </w:r>
      <w:r w:rsidRPr="00171F18">
        <w:rPr>
          <w:rFonts w:eastAsia="Calibri"/>
          <w:b/>
          <w:sz w:val="25"/>
          <w:szCs w:val="25"/>
        </w:rPr>
        <w:t xml:space="preserve">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890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983"/>
        <w:gridCol w:w="2977"/>
        <w:gridCol w:w="1418"/>
      </w:tblGrid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494435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="00171F18" w:rsidRPr="00171F18">
              <w:rPr>
                <w:rFonts w:eastAsia="Calibri"/>
                <w:lang w:eastAsia="en-US"/>
              </w:rPr>
              <w:t xml:space="preserve">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206A21" w:rsidP="00171F1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</w:t>
            </w:r>
            <w:r w:rsidR="00171F18" w:rsidRPr="00171F18">
              <w:rPr>
                <w:rFonts w:eastAsia="Calibri"/>
                <w:lang w:eastAsia="en-US"/>
              </w:rPr>
              <w:t>50 000,00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5A23B1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06A21">
              <w:rPr>
                <w:rFonts w:eastAsia="Calibri"/>
                <w:lang w:eastAsia="en-US"/>
              </w:rPr>
              <w:t>127409,86</w:t>
            </w:r>
          </w:p>
        </w:tc>
      </w:tr>
      <w:tr w:rsidR="00171F18" w:rsidRPr="00171F18" w:rsidTr="00CB0A27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494435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206A21">
              <w:rPr>
                <w:rFonts w:eastAsia="Calibri"/>
                <w:lang w:eastAsia="en-US"/>
              </w:rPr>
              <w:t>377 409,86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lastRenderedPageBreak/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="00494435">
        <w:rPr>
          <w:bCs/>
          <w:color w:val="000000"/>
        </w:rPr>
        <w:t>Российской Федерации на 2021</w:t>
      </w:r>
      <w:r w:rsidRPr="00F82566">
        <w:rPr>
          <w:bCs/>
          <w:color w:val="000000"/>
        </w:rPr>
        <w:t xml:space="preserve"> год</w:t>
      </w:r>
    </w:p>
    <w:p w:rsidR="00F82566" w:rsidRDefault="00494435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>
        <w:t xml:space="preserve"> и плановый период 2022 и 2023</w:t>
      </w:r>
      <w:r w:rsidR="00F82566" w:rsidRPr="00F82566">
        <w:t xml:space="preserve"> годов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p w:rsid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bCs/>
          <w:color w:val="000000"/>
          <w:sz w:val="28"/>
          <w:szCs w:val="28"/>
        </w:rPr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</w:t>
      </w:r>
      <w:r w:rsidR="00494435">
        <w:rPr>
          <w:b/>
          <w:bCs/>
          <w:color w:val="000000"/>
          <w:sz w:val="28"/>
          <w:szCs w:val="28"/>
        </w:rPr>
        <w:t>ижнематренский сельсовет на 2021</w:t>
      </w:r>
      <w:r w:rsidRPr="00F82566">
        <w:rPr>
          <w:b/>
          <w:bCs/>
          <w:color w:val="000000"/>
          <w:sz w:val="28"/>
          <w:szCs w:val="28"/>
        </w:rPr>
        <w:t xml:space="preserve"> год</w:t>
      </w:r>
    </w:p>
    <w:p w:rsidR="00114AA6" w:rsidRPr="00F82566" w:rsidRDefault="00114AA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114AA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Сумма  2021</w:t>
            </w:r>
            <w:r w:rsidR="00F82566" w:rsidRPr="00114AA6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82566" w:rsidRPr="00114AA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114AA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B4329" w:rsidRPr="00114AA6">
              <w:rPr>
                <w:b/>
                <w:bCs/>
                <w:color w:val="000000"/>
                <w:sz w:val="22"/>
                <w:szCs w:val="22"/>
              </w:rPr>
              <w:t> 872 048,21</w:t>
            </w:r>
          </w:p>
        </w:tc>
      </w:tr>
      <w:tr w:rsidR="00F82566" w:rsidRPr="00114AA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209 919,94</w:t>
            </w:r>
          </w:p>
        </w:tc>
      </w:tr>
      <w:tr w:rsidR="00F82566" w:rsidRPr="00114AA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980 148,51</w:t>
            </w:r>
          </w:p>
        </w:tc>
      </w:tr>
      <w:tr w:rsidR="00F82566" w:rsidRPr="00114AA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494435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25 713,99</w:t>
            </w:r>
          </w:p>
        </w:tc>
      </w:tr>
      <w:tr w:rsidR="00F82566" w:rsidRPr="00114AA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</w:t>
            </w:r>
            <w:r w:rsidR="00DB4329" w:rsidRPr="00114AA6">
              <w:rPr>
                <w:color w:val="000000"/>
                <w:sz w:val="22"/>
                <w:szCs w:val="22"/>
              </w:rPr>
              <w:t> 656 265,77</w:t>
            </w:r>
          </w:p>
        </w:tc>
      </w:tr>
      <w:tr w:rsidR="00F82566" w:rsidRPr="00114AA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663 712,55</w:t>
            </w:r>
          </w:p>
        </w:tc>
      </w:tr>
      <w:tr w:rsidR="00F82566" w:rsidRPr="00114AA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648 749,13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4 791,17</w:t>
            </w:r>
          </w:p>
        </w:tc>
      </w:tr>
      <w:tr w:rsidR="00F82566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114AA6" w:rsidRDefault="00F82566" w:rsidP="00F82566">
            <w:pPr>
              <w:rPr>
                <w:color w:val="000000"/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</w:t>
            </w:r>
            <w:r w:rsidR="00DB4329" w:rsidRPr="00114AA6">
              <w:rPr>
                <w:color w:val="000000"/>
                <w:sz w:val="22"/>
                <w:szCs w:val="22"/>
              </w:rPr>
              <w:t>0 172,25</w:t>
            </w: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 xml:space="preserve">Прочие </w:t>
            </w:r>
            <w:r w:rsidR="00DB4329" w:rsidRPr="00114AA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4329" w:rsidRPr="00114AA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sz w:val="22"/>
                <w:szCs w:val="22"/>
              </w:rPr>
            </w:pPr>
            <w:r w:rsidRPr="00114AA6"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329" w:rsidRPr="00114AA6" w:rsidRDefault="00DB4329" w:rsidP="00F82566">
            <w:pPr>
              <w:rPr>
                <w:sz w:val="22"/>
                <w:szCs w:val="22"/>
              </w:rPr>
            </w:pPr>
            <w:r w:rsidRPr="00114AA6">
              <w:t>Средства самообложения граждан, зачисляемые в бюджеты сельских поселений.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329" w:rsidRPr="00114AA6" w:rsidRDefault="00DB4329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2 400,00</w:t>
            </w:r>
          </w:p>
        </w:tc>
      </w:tr>
      <w:tr w:rsidR="00F82566" w:rsidRPr="00114AA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114AA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3 538 160,76</w:t>
            </w:r>
          </w:p>
        </w:tc>
      </w:tr>
      <w:tr w:rsidR="00F82566" w:rsidRPr="00114AA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1 715</w:t>
            </w:r>
            <w:r w:rsidR="00F82566" w:rsidRPr="00114AA6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F82566" w:rsidRPr="00114AA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619 903</w:t>
            </w:r>
            <w:r w:rsidR="00F82566" w:rsidRPr="00114AA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114AA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90 3</w:t>
            </w:r>
            <w:r w:rsidR="00F82566" w:rsidRPr="00114AA6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F82566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114AA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114AA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4AA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114AA6" w:rsidRDefault="00201FE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715 </w:t>
            </w:r>
            <w:r w:rsidR="00095670" w:rsidRPr="00114AA6">
              <w:rPr>
                <w:color w:val="000000"/>
                <w:sz w:val="22"/>
                <w:szCs w:val="22"/>
              </w:rPr>
              <w:t>656</w:t>
            </w:r>
            <w:r w:rsidRPr="00114AA6">
              <w:rPr>
                <w:color w:val="000000"/>
                <w:sz w:val="22"/>
                <w:szCs w:val="22"/>
              </w:rPr>
              <w:t>,38</w:t>
            </w:r>
          </w:p>
        </w:tc>
      </w:tr>
      <w:tr w:rsidR="00201FE0" w:rsidRPr="00114AA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1FE0" w:rsidRPr="00114AA6" w:rsidRDefault="0009567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rFonts w:eastAsia="Calibri"/>
                <w:bCs/>
                <w:lang w:eastAsia="en-US"/>
              </w:rPr>
              <w:lastRenderedPageBreak/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FE0" w:rsidRPr="00114AA6" w:rsidRDefault="00095670" w:rsidP="00F82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4AA6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01FE0" w:rsidRPr="00114AA6" w:rsidRDefault="00095670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114AA6">
              <w:rPr>
                <w:color w:val="000000"/>
                <w:sz w:val="22"/>
                <w:szCs w:val="22"/>
              </w:rPr>
              <w:t>279 807,44</w:t>
            </w:r>
          </w:p>
        </w:tc>
      </w:tr>
      <w:tr w:rsidR="00F82566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114AA6" w:rsidRDefault="00F82566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114AA6" w:rsidRDefault="00201FE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 8 800,49</w:t>
            </w:r>
          </w:p>
        </w:tc>
      </w:tr>
      <w:tr w:rsidR="00333C18" w:rsidRPr="00114AA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114AA6" w:rsidRDefault="00333C18" w:rsidP="00F62E4E">
            <w:pPr>
              <w:rPr>
                <w:sz w:val="22"/>
                <w:szCs w:val="22"/>
              </w:rPr>
            </w:pPr>
            <w:r w:rsidRPr="00114AA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114AA6" w:rsidRDefault="00095670" w:rsidP="00F82566">
            <w:pPr>
              <w:rPr>
                <w:sz w:val="22"/>
                <w:szCs w:val="22"/>
              </w:rPr>
            </w:pPr>
            <w:r w:rsidRPr="00114AA6">
              <w:rPr>
                <w:sz w:val="22"/>
                <w:szCs w:val="22"/>
              </w:rPr>
              <w:t xml:space="preserve">   </w:t>
            </w:r>
            <w:r w:rsidR="00201FE0" w:rsidRPr="00114AA6">
              <w:rPr>
                <w:sz w:val="22"/>
                <w:szCs w:val="22"/>
              </w:rPr>
              <w:t>73 987</w:t>
            </w:r>
            <w:r w:rsidR="00333C18" w:rsidRPr="00114AA6">
              <w:rPr>
                <w:sz w:val="22"/>
                <w:szCs w:val="22"/>
              </w:rPr>
              <w:t>,00</w:t>
            </w:r>
          </w:p>
        </w:tc>
      </w:tr>
      <w:tr w:rsidR="00333C18" w:rsidRPr="00114AA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114AA6" w:rsidRDefault="0009567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3 503 454,31</w:t>
            </w:r>
          </w:p>
        </w:tc>
      </w:tr>
      <w:tr w:rsidR="00333C18" w:rsidRPr="00114AA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114AA6" w:rsidRDefault="00095670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4AA6">
              <w:rPr>
                <w:b/>
                <w:bCs/>
                <w:color w:val="000000"/>
                <w:sz w:val="22"/>
                <w:szCs w:val="22"/>
              </w:rPr>
              <w:t>7 041 615,07</w:t>
            </w:r>
          </w:p>
        </w:tc>
      </w:tr>
    </w:tbl>
    <w:p w:rsid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095670" w:rsidRDefault="00095670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494435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494435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F82566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="00494435">
        <w:rPr>
          <w:rFonts w:eastAsia="Calibri"/>
        </w:rPr>
        <w:t>и плановый период 2022 и 2023</w:t>
      </w:r>
      <w:r w:rsidRPr="00F82566">
        <w:rPr>
          <w:rFonts w:eastAsia="Calibri"/>
        </w:rPr>
        <w:t xml:space="preserve">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114AA6">
        <w:trPr>
          <w:cantSplit/>
          <w:trHeight w:val="126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6 664 205</w:t>
            </w:r>
            <w:r w:rsidR="00A848B6">
              <w:rPr>
                <w:rFonts w:eastAsia="Calibri"/>
                <w:b/>
                <w:bCs/>
              </w:rPr>
              <w:t>,21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BD3806">
              <w:rPr>
                <w:rFonts w:eastAsia="Calibri"/>
                <w:b/>
                <w:color w:val="000000"/>
              </w:rPr>
              <w:t> 882 622,51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095670" w:rsidP="00A848B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978 271</w:t>
            </w:r>
            <w:r w:rsidR="00A848B6" w:rsidRPr="00F82566">
              <w:rPr>
                <w:rFonts w:eastAsia="Calibri"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 w:rsidR="00095670">
              <w:rPr>
                <w:rFonts w:eastAsia="Calibri"/>
                <w:color w:val="000000"/>
              </w:rPr>
              <w:t> 486 382,07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095670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</w:t>
            </w:r>
            <w:r w:rsidR="00A848B6"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BD3806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302 499,44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BD3806" w:rsidP="00A848B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90 3</w:t>
            </w:r>
            <w:r w:rsidR="00A848B6" w:rsidRPr="00F82566">
              <w:rPr>
                <w:rFonts w:eastAsia="Calibri"/>
                <w:b/>
                <w:color w:val="000000"/>
              </w:rPr>
              <w:t>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BD3806" w:rsidP="00A848B6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90 3</w:t>
            </w:r>
            <w:r w:rsidR="00A848B6" w:rsidRPr="00F82566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15 042</w:t>
            </w:r>
            <w:r w:rsidRPr="002E777E">
              <w:rPr>
                <w:rFonts w:eastAsia="Calibri"/>
                <w:b/>
                <w:bCs/>
                <w:color w:val="000000"/>
                <w:lang w:eastAsia="en-US"/>
              </w:rPr>
              <w:t>,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31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2E777E" w:rsidRDefault="00394584" w:rsidP="00394584">
            <w:pPr>
              <w:spacing w:line="240" w:lineRule="atLeast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2E777E">
              <w:rPr>
                <w:rFonts w:eastAsia="Calibri"/>
                <w:bCs/>
                <w:color w:val="000000"/>
                <w:lang w:eastAsia="en-US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2E777E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15 042</w:t>
            </w:r>
            <w:r w:rsidRPr="002E777E">
              <w:rPr>
                <w:rFonts w:eastAsia="Calibri"/>
                <w:bCs/>
                <w:color w:val="000000"/>
                <w:lang w:eastAsia="en-US"/>
              </w:rPr>
              <w:t>,</w:t>
            </w:r>
            <w:r>
              <w:rPr>
                <w:rFonts w:eastAsia="Calibri"/>
                <w:bCs/>
                <w:color w:val="000000"/>
                <w:lang w:eastAsia="en-US"/>
              </w:rPr>
              <w:t>31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742 180,38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715 656,38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color w:val="000000"/>
              </w:rPr>
            </w:pPr>
            <w:r w:rsidRPr="00F825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26 524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85 034,53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18 103,93</w:t>
            </w:r>
          </w:p>
        </w:tc>
      </w:tr>
      <w:tr w:rsidR="00394584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366 930,60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1 423 830</w:t>
            </w:r>
            <w:r w:rsidRPr="00F825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1 423 830</w:t>
            </w:r>
            <w:r w:rsidRPr="00F82566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F82566" w:rsidRDefault="00394584" w:rsidP="00394584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163,48</w:t>
            </w:r>
          </w:p>
        </w:tc>
      </w:tr>
      <w:tr w:rsidR="00394584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F82566" w:rsidRDefault="00394584" w:rsidP="00394584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163,48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="00494435">
        <w:rPr>
          <w:rFonts w:eastAsia="Calibri"/>
          <w:b/>
          <w:lang w:eastAsia="x-none"/>
        </w:rPr>
        <w:t>21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394584" w:rsidRPr="00394584" w:rsidRDefault="00394584" w:rsidP="00394584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394584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394584">
        <w:rPr>
          <w:rFonts w:eastAsia="Calibri"/>
          <w:b/>
          <w:bCs/>
        </w:rPr>
        <w:t xml:space="preserve">Приложение № </w:t>
      </w:r>
      <w:r w:rsidR="00014F25">
        <w:rPr>
          <w:rFonts w:eastAsia="Calibri"/>
          <w:b/>
          <w:bCs/>
        </w:rPr>
        <w:t>4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3945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 год</w:t>
      </w:r>
    </w:p>
    <w:p w:rsidR="00394584" w:rsidRDefault="00394584" w:rsidP="00394584">
      <w:pPr>
        <w:spacing w:line="240" w:lineRule="atLeast"/>
        <w:jc w:val="right"/>
        <w:rPr>
          <w:rFonts w:eastAsia="Calibri"/>
        </w:rPr>
      </w:pPr>
      <w:r w:rsidRPr="00394584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394584">
        <w:rPr>
          <w:rFonts w:eastAsia="Calibri"/>
        </w:rPr>
        <w:t>и плановый период 2022 и 2023 годов</w:t>
      </w:r>
    </w:p>
    <w:p w:rsidR="00114AA6" w:rsidRPr="00394584" w:rsidRDefault="00114AA6" w:rsidP="00394584">
      <w:pPr>
        <w:spacing w:line="240" w:lineRule="atLeast"/>
        <w:jc w:val="right"/>
        <w:rPr>
          <w:rFonts w:eastAsia="Calibri"/>
        </w:rPr>
      </w:pPr>
    </w:p>
    <w:p w:rsidR="00394584" w:rsidRPr="00394584" w:rsidRDefault="00394584" w:rsidP="00394584">
      <w:pPr>
        <w:rPr>
          <w:rFonts w:eastAsia="Calibri"/>
          <w:b/>
          <w:bCs/>
          <w:sz w:val="26"/>
        </w:rPr>
      </w:pPr>
      <w:r w:rsidRPr="00394584">
        <w:rPr>
          <w:rFonts w:eastAsia="Calibri"/>
          <w:sz w:val="26"/>
        </w:rPr>
        <w:t xml:space="preserve">                                          </w:t>
      </w:r>
      <w:r w:rsidRPr="00394584">
        <w:rPr>
          <w:rFonts w:eastAsia="Calibri"/>
          <w:b/>
          <w:bCs/>
          <w:sz w:val="26"/>
          <w:szCs w:val="28"/>
        </w:rPr>
        <w:t>ВЕДОМСТВЕННАЯ   СТРУКТУРА</w:t>
      </w:r>
      <w:r w:rsidRPr="00394584">
        <w:rPr>
          <w:rFonts w:eastAsia="Calibri"/>
          <w:b/>
          <w:bCs/>
          <w:sz w:val="26"/>
        </w:rPr>
        <w:t xml:space="preserve">  </w:t>
      </w:r>
    </w:p>
    <w:p w:rsidR="00394584" w:rsidRPr="00394584" w:rsidRDefault="00394584" w:rsidP="00394584">
      <w:pPr>
        <w:jc w:val="center"/>
        <w:rPr>
          <w:rFonts w:eastAsia="Calibri"/>
          <w:sz w:val="26"/>
          <w:szCs w:val="28"/>
        </w:rPr>
      </w:pPr>
      <w:r w:rsidRPr="00394584">
        <w:rPr>
          <w:rFonts w:eastAsia="Calibri"/>
          <w:b/>
          <w:bCs/>
          <w:sz w:val="26"/>
          <w:szCs w:val="28"/>
        </w:rPr>
        <w:t>расходов бюджета сельского поселения на 2021 год</w:t>
      </w:r>
    </w:p>
    <w:p w:rsidR="00394584" w:rsidRPr="00394584" w:rsidRDefault="00394584" w:rsidP="00394584">
      <w:pPr>
        <w:jc w:val="right"/>
        <w:rPr>
          <w:rFonts w:eastAsia="Calibri"/>
          <w:sz w:val="26"/>
          <w:szCs w:val="28"/>
        </w:rPr>
      </w:pP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               руб.</w:t>
      </w:r>
      <w:r w:rsidRPr="00394584">
        <w:rPr>
          <w:rFonts w:eastAsia="Calibri"/>
          <w:sz w:val="26"/>
          <w:szCs w:val="28"/>
        </w:rPr>
        <w:tab/>
      </w:r>
      <w:r w:rsidRPr="00394584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709"/>
        <w:gridCol w:w="567"/>
        <w:gridCol w:w="567"/>
        <w:gridCol w:w="1985"/>
        <w:gridCol w:w="685"/>
        <w:gridCol w:w="1612"/>
      </w:tblGrid>
      <w:tr w:rsidR="00394584" w:rsidRPr="00394584" w:rsidTr="00394584">
        <w:trPr>
          <w:cantSplit/>
          <w:trHeight w:val="140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394584" w:rsidRPr="00394584" w:rsidRDefault="00394584" w:rsidP="00394584">
            <w:pPr>
              <w:keepNext/>
              <w:spacing w:before="240" w:line="240" w:lineRule="atLeast"/>
              <w:outlineLvl w:val="2"/>
              <w:rPr>
                <w:rFonts w:eastAsia="Calibri"/>
                <w:bCs/>
                <w:lang w:val="x-none" w:eastAsia="x-none"/>
              </w:rPr>
            </w:pPr>
            <w:r w:rsidRPr="00394584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Главный</w:t>
            </w: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Целевая статья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584" w:rsidRPr="00394584" w:rsidRDefault="00394584" w:rsidP="00394584">
            <w:pPr>
              <w:spacing w:line="240" w:lineRule="atLeast"/>
              <w:ind w:left="113" w:right="113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Вид расходов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554"/>
              </w:tabs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СУММА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keepNext/>
              <w:spacing w:before="240" w:line="240" w:lineRule="atLeast"/>
              <w:outlineLvl w:val="3"/>
              <w:rPr>
                <w:lang w:val="x-none" w:eastAsia="x-none"/>
              </w:rPr>
            </w:pPr>
            <w:r w:rsidRPr="00394584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ind w:left="-1242" w:right="949" w:hanging="2617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6 664 205,21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before="240" w:line="240" w:lineRule="atLeast"/>
              <w:outlineLvl w:val="7"/>
              <w:rPr>
                <w:u w:val="single"/>
                <w:lang w:val="x-none" w:eastAsia="x-none"/>
              </w:rPr>
            </w:pPr>
            <w:r w:rsidRPr="00394584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7F2832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3 882 622,51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5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99 1 00 00050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978 271,00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2 486</w:t>
            </w:r>
            <w:r w:rsidR="00014F25">
              <w:rPr>
                <w:rFonts w:eastAsia="Calibri"/>
                <w:b/>
                <w:color w:val="000000"/>
                <w:lang w:eastAsia="en-US"/>
              </w:rPr>
              <w:t> 382,0</w:t>
            </w:r>
            <w:r w:rsidR="007F2832">
              <w:rPr>
                <w:rFonts w:eastAsia="Calibri"/>
                <w:b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2 486</w:t>
            </w:r>
            <w:r w:rsidR="00014F25">
              <w:rPr>
                <w:rFonts w:eastAsia="Calibri"/>
                <w:color w:val="000000"/>
                <w:lang w:eastAsia="en-US"/>
              </w:rPr>
              <w:t> 382,0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2 486</w:t>
            </w:r>
            <w:r w:rsidR="00014F25">
              <w:rPr>
                <w:rFonts w:eastAsia="Calibri"/>
                <w:color w:val="000000"/>
                <w:lang w:eastAsia="en-US"/>
              </w:rPr>
              <w:t> 382,0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7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99 9 00 00110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1 579</w:t>
            </w:r>
            <w:r w:rsidR="00014F25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22</w:t>
            </w:r>
            <w:r w:rsidR="00014F25">
              <w:rPr>
                <w:rFonts w:eastAsia="Calibri"/>
                <w:color w:val="000000"/>
                <w:lang w:eastAsia="en-US"/>
              </w:rPr>
              <w:t>7,5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</w:t>
            </w:r>
            <w:r w:rsidR="00014F25">
              <w:rPr>
                <w:rFonts w:eastAsia="Calibri"/>
                <w:color w:val="000000"/>
                <w:lang w:eastAsia="en-US"/>
              </w:rPr>
              <w:t> 579 227,5</w:t>
            </w:r>
            <w:r w:rsidR="007F2832">
              <w:rPr>
                <w:rFonts w:eastAsia="Calibri"/>
                <w:color w:val="000000"/>
                <w:lang w:eastAsia="en-US"/>
              </w:rPr>
              <w:t>7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907</w:t>
            </w:r>
            <w:r w:rsidR="00014F25">
              <w:rPr>
                <w:rFonts w:eastAsia="Calibri"/>
                <w:color w:val="000000"/>
                <w:lang w:eastAsia="en-US"/>
              </w:rPr>
              <w:t> 154,50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 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708</w:t>
            </w:r>
            <w:r w:rsidR="00014F25">
              <w:rPr>
                <w:rFonts w:eastAsia="Calibri"/>
                <w:color w:val="000000"/>
                <w:lang w:eastAsia="en-US"/>
              </w:rPr>
              <w:t> 545,50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014F25" w:rsidP="00394584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 198 609</w:t>
            </w:r>
            <w:r w:rsidR="00394584" w:rsidRPr="00394584">
              <w:rPr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55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99 9 00 00130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115 470,00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302 499,44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19 692,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19 692,</w:t>
            </w:r>
            <w:r w:rsidR="009335EB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электрон-ному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15 500,</w:t>
            </w:r>
            <w:r w:rsidR="00014F25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Приобретение программного обеспечения по электронному ведению похозяйствен-ного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8 800,49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01 4 02 86790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8 800,49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6</w:t>
            </w:r>
            <w:r w:rsidR="009335EB">
              <w:rPr>
                <w:rFonts w:eastAsia="Calibri"/>
                <w:color w:val="000000"/>
                <w:lang w:eastAsia="en-US"/>
              </w:rPr>
              <w:t> 699,51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394584">
              <w:rPr>
                <w:rFonts w:eastAsia="Calibri"/>
                <w:color w:val="000000"/>
                <w:lang w:eastAsia="en-US"/>
              </w:rPr>
              <w:t>4 02</w:t>
            </w:r>
            <w:r w:rsidRPr="00394584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394584">
              <w:rPr>
                <w:rFonts w:eastAsia="Calibri"/>
                <w:color w:val="000000"/>
                <w:lang w:eastAsia="en-US"/>
              </w:rPr>
              <w:t>79</w:t>
            </w:r>
            <w:r w:rsidRPr="00394584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6</w:t>
            </w:r>
            <w:r w:rsidR="009335EB">
              <w:rPr>
                <w:rFonts w:eastAsia="Calibri"/>
                <w:color w:val="000000"/>
                <w:lang w:eastAsia="en-US"/>
              </w:rPr>
              <w:t> 699,51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Основное мероприятие. « Ежегодные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 xml:space="preserve">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4 192,00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282 807,44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3 000,00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99 9 00 07100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3 000,00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99 9 00 87060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99 9 00 87060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279 807,44</w:t>
            </w:r>
          </w:p>
        </w:tc>
      </w:tr>
      <w:tr w:rsidR="00394584" w:rsidRPr="00394584" w:rsidTr="00394584">
        <w:trPr>
          <w:trHeight w:val="19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both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73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90 300,00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80 400,00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99 9 00 51180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9 900,00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Подпрограмма «Обеспечение безопасности человека и природной среды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201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Подготовка и проведение мероприятий по защите населения и территории от   чрезвычайных ситуаций 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01 3 01 20330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15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  <w:r w:rsidR="009335EB">
              <w:rPr>
                <w:rFonts w:eastAsia="Calibri"/>
                <w:color w:val="000000"/>
                <w:lang w:eastAsia="en-US"/>
              </w:rPr>
              <w:t>2,31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742 180,38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color w:val="000000"/>
                <w:lang w:eastAsia="en-US"/>
              </w:rPr>
            </w:pPr>
            <w:r w:rsidRPr="00394584">
              <w:rPr>
                <w:b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9335EB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b/>
                <w:bCs/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b/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01 1 01 41100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715 656,38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 xml:space="preserve">Основное мероприятие «Выполнение работ по подготовке  экспертизы достоверности  определения сметной стоимости объекта : «Модернизация (реконструкция) системы теплоснабжения зданий, помещений, сооружений  принадлежащих гражданам на праве собственности, находящихся на </w:t>
            </w:r>
            <w:r w:rsidRPr="00394584">
              <w:rPr>
                <w:lang w:eastAsia="en-US"/>
              </w:rPr>
              <w:lastRenderedPageBreak/>
              <w:t xml:space="preserve">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01 4 09 00000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lastRenderedPageBreak/>
              <w:t xml:space="preserve">Расходы на подготовку  экспертизы достоверности определения сметной стоимости объекта : «Модернизация (реконструкция) системы теплоснабжения зданий, помещений, сооружений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01 4 09 20210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26 524,00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7F2832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485 034,53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  <w:r w:rsidRPr="00394584">
              <w:rPr>
                <w:lang w:eastAsia="en-US"/>
              </w:rPr>
              <w:t>99 9 00 00140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118</w:t>
            </w:r>
            <w:r w:rsidR="009335EB">
              <w:rPr>
                <w:rFonts w:eastAsia="Calibri"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  <w:r w:rsidR="009335EB">
              <w:rPr>
                <w:rFonts w:eastAsia="Calibri"/>
                <w:color w:val="000000"/>
                <w:lang w:eastAsia="en-US"/>
              </w:rPr>
              <w:t>3,93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366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394584">
              <w:rPr>
                <w:rFonts w:eastAsia="Calibri"/>
                <w:b/>
                <w:color w:val="000000"/>
                <w:lang w:eastAsia="en-US"/>
              </w:rPr>
              <w:t>93</w:t>
            </w:r>
            <w:r w:rsidR="009335EB">
              <w:rPr>
                <w:rFonts w:eastAsia="Calibri"/>
                <w:b/>
                <w:color w:val="000000"/>
                <w:lang w:eastAsia="en-US"/>
              </w:rPr>
              <w:t>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</w:t>
            </w:r>
            <w:r w:rsidR="009335EB">
              <w:rPr>
                <w:rFonts w:eastAsia="Calibri"/>
                <w:color w:val="000000"/>
                <w:lang w:eastAsia="en-US"/>
              </w:rPr>
              <w:t>66 930,60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</w:t>
            </w:r>
            <w:r w:rsidR="009335EB">
              <w:rPr>
                <w:rFonts w:eastAsia="Calibri"/>
                <w:color w:val="000000"/>
                <w:lang w:eastAsia="en-US"/>
              </w:rPr>
              <w:t>66 930,60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269 200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lang w:eastAsia="x-none"/>
              </w:rPr>
            </w:pPr>
            <w:r w:rsidRPr="00394584">
              <w:rPr>
                <w:lang w:eastAsia="x-none"/>
              </w:rPr>
              <w:t>Расходы на у</w:t>
            </w:r>
            <w:r w:rsidRPr="00394584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269 200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269 200</w:t>
            </w:r>
            <w:r w:rsidR="00394584" w:rsidRPr="00394584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Основное мероприятие. « 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97 730,60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97 730,60</w:t>
            </w:r>
          </w:p>
        </w:tc>
      </w:tr>
      <w:tr w:rsidR="00394584" w:rsidRPr="00394584" w:rsidTr="00394584">
        <w:trPr>
          <w:trHeight w:val="15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76" w:lineRule="auto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97 730,60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Нижнематренский сельсовет на 2019-2024 </w:t>
            </w: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lastRenderedPageBreak/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68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01 2 02 00000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color w:val="000000"/>
                <w:lang w:eastAsia="en-US"/>
              </w:rPr>
            </w:pPr>
            <w:r w:rsidRPr="00394584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1 423 830,00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bCs/>
                <w:lang w:eastAsia="en-US"/>
              </w:rPr>
            </w:pPr>
            <w:r w:rsidRPr="00394584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  <w:r w:rsidRPr="00394584"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114AA6">
              <w:rPr>
                <w:rFonts w:eastAsia="Calibri"/>
                <w:color w:val="000000"/>
                <w:lang w:eastAsia="en-US"/>
              </w:rPr>
              <w:t>-</w:t>
            </w:r>
            <w:r w:rsidRPr="00394584">
              <w:rPr>
                <w:rFonts w:eastAsia="Calibri"/>
                <w:color w:val="000000"/>
                <w:lang w:eastAsia="en-US"/>
              </w:rPr>
              <w:t>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84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394584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Cs/>
                <w:lang w:eastAsia="en-US"/>
              </w:rPr>
            </w:pPr>
            <w:r w:rsidRPr="00394584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 xml:space="preserve">   01 4 05 20370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color w:val="000000"/>
                <w:lang w:eastAsia="en-US"/>
              </w:rPr>
            </w:pPr>
            <w:r w:rsidRPr="00394584">
              <w:rPr>
                <w:rFonts w:eastAsia="Calibri"/>
                <w:color w:val="000000"/>
                <w:lang w:eastAsia="en-US"/>
              </w:rPr>
              <w:t>300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25 032,00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b/>
                <w:lang w:eastAsia="en-US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394584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</w:t>
            </w:r>
            <w:r w:rsidR="00114AA6">
              <w:rPr>
                <w:lang w:eastAsia="en-US"/>
              </w:rPr>
              <w:t>-</w:t>
            </w:r>
            <w:r w:rsidRPr="00394584">
              <w:rPr>
                <w:lang w:eastAsia="en-US"/>
              </w:rPr>
              <w:t>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01 0 00 00000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01 4 00 00000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01 4 07 00000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394584" w:rsidP="00394584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  <w:tr w:rsidR="00394584" w:rsidRPr="00394584" w:rsidTr="009335EB">
        <w:trPr>
          <w:trHeight w:val="16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 xml:space="preserve">   01 4 07 20090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84" w:rsidRPr="00394584" w:rsidRDefault="00394584" w:rsidP="00394584">
            <w:pPr>
              <w:spacing w:line="240" w:lineRule="atLeast"/>
              <w:rPr>
                <w:rFonts w:eastAsia="Calibri"/>
                <w:lang w:eastAsia="en-US"/>
              </w:rPr>
            </w:pPr>
            <w:r w:rsidRPr="00394584">
              <w:rPr>
                <w:lang w:eastAsia="en-US"/>
              </w:rPr>
              <w:t>700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84" w:rsidRPr="00394584" w:rsidRDefault="009335EB" w:rsidP="00394584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163,48</w:t>
            </w:r>
          </w:p>
        </w:tc>
      </w:tr>
    </w:tbl>
    <w:p w:rsidR="00060700" w:rsidRPr="00060700" w:rsidRDefault="00060700" w:rsidP="00114AA6">
      <w:pPr>
        <w:spacing w:after="120"/>
        <w:jc w:val="right"/>
        <w:rPr>
          <w:rFonts w:eastAsia="Calibri"/>
          <w:sz w:val="25"/>
          <w:szCs w:val="25"/>
        </w:rPr>
      </w:pPr>
    </w:p>
    <w:sectPr w:rsidR="00060700" w:rsidRPr="00060700" w:rsidSect="00095670">
      <w:pgSz w:w="11906" w:h="16838"/>
      <w:pgMar w:top="142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 w15:restartNumberingAfterBreak="0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E981F14"/>
    <w:multiLevelType w:val="multilevel"/>
    <w:tmpl w:val="E0CE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15"/>
    <w:rsid w:val="00000875"/>
    <w:rsid w:val="00005904"/>
    <w:rsid w:val="00014F25"/>
    <w:rsid w:val="0004131E"/>
    <w:rsid w:val="00042A4A"/>
    <w:rsid w:val="00046AA3"/>
    <w:rsid w:val="0005519B"/>
    <w:rsid w:val="00060700"/>
    <w:rsid w:val="00065D38"/>
    <w:rsid w:val="00085223"/>
    <w:rsid w:val="0008552B"/>
    <w:rsid w:val="00095670"/>
    <w:rsid w:val="000A6059"/>
    <w:rsid w:val="000A652C"/>
    <w:rsid w:val="000C0FBC"/>
    <w:rsid w:val="000D63EE"/>
    <w:rsid w:val="000E3444"/>
    <w:rsid w:val="00104A1E"/>
    <w:rsid w:val="00114AA6"/>
    <w:rsid w:val="00121BC2"/>
    <w:rsid w:val="0014643A"/>
    <w:rsid w:val="00167F4A"/>
    <w:rsid w:val="00171F18"/>
    <w:rsid w:val="00192649"/>
    <w:rsid w:val="001D4817"/>
    <w:rsid w:val="001D4960"/>
    <w:rsid w:val="001E13E7"/>
    <w:rsid w:val="001F2D66"/>
    <w:rsid w:val="001F56E0"/>
    <w:rsid w:val="00201FE0"/>
    <w:rsid w:val="0020693F"/>
    <w:rsid w:val="00206A21"/>
    <w:rsid w:val="002074B0"/>
    <w:rsid w:val="00262C9F"/>
    <w:rsid w:val="00263791"/>
    <w:rsid w:val="00267F10"/>
    <w:rsid w:val="00275C8A"/>
    <w:rsid w:val="002777EC"/>
    <w:rsid w:val="00290E4E"/>
    <w:rsid w:val="00294D22"/>
    <w:rsid w:val="002A5971"/>
    <w:rsid w:val="002A7AEF"/>
    <w:rsid w:val="002B7EBB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633AC"/>
    <w:rsid w:val="00367E89"/>
    <w:rsid w:val="00373209"/>
    <w:rsid w:val="00382BBD"/>
    <w:rsid w:val="00384BBD"/>
    <w:rsid w:val="00393069"/>
    <w:rsid w:val="00394584"/>
    <w:rsid w:val="003965F3"/>
    <w:rsid w:val="00396BA7"/>
    <w:rsid w:val="003A18EA"/>
    <w:rsid w:val="003A478B"/>
    <w:rsid w:val="003A629F"/>
    <w:rsid w:val="003A6F13"/>
    <w:rsid w:val="003C1C5D"/>
    <w:rsid w:val="003C28DF"/>
    <w:rsid w:val="003C31C6"/>
    <w:rsid w:val="003D2A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4435"/>
    <w:rsid w:val="00495FF1"/>
    <w:rsid w:val="004A5B89"/>
    <w:rsid w:val="004A772A"/>
    <w:rsid w:val="004B55FC"/>
    <w:rsid w:val="004D4F5B"/>
    <w:rsid w:val="004E75E3"/>
    <w:rsid w:val="004F0D4C"/>
    <w:rsid w:val="00502274"/>
    <w:rsid w:val="005112B1"/>
    <w:rsid w:val="005249DC"/>
    <w:rsid w:val="00557A6F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24B40"/>
    <w:rsid w:val="0073796E"/>
    <w:rsid w:val="0076469E"/>
    <w:rsid w:val="00772A97"/>
    <w:rsid w:val="00772DDC"/>
    <w:rsid w:val="00776D71"/>
    <w:rsid w:val="00780B7C"/>
    <w:rsid w:val="007865BE"/>
    <w:rsid w:val="00793561"/>
    <w:rsid w:val="007C265E"/>
    <w:rsid w:val="007D2CA8"/>
    <w:rsid w:val="007E69C2"/>
    <w:rsid w:val="007E7AEC"/>
    <w:rsid w:val="007F2832"/>
    <w:rsid w:val="007F2F99"/>
    <w:rsid w:val="00800C64"/>
    <w:rsid w:val="008011F7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335E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3806"/>
    <w:rsid w:val="00BD686D"/>
    <w:rsid w:val="00BE2CAB"/>
    <w:rsid w:val="00BE3B54"/>
    <w:rsid w:val="00BF0681"/>
    <w:rsid w:val="00BF0FAD"/>
    <w:rsid w:val="00C14890"/>
    <w:rsid w:val="00C32126"/>
    <w:rsid w:val="00C45DA1"/>
    <w:rsid w:val="00C504DA"/>
    <w:rsid w:val="00C62AC3"/>
    <w:rsid w:val="00C6357C"/>
    <w:rsid w:val="00C67179"/>
    <w:rsid w:val="00C7038A"/>
    <w:rsid w:val="00CA28C2"/>
    <w:rsid w:val="00CA61C2"/>
    <w:rsid w:val="00CB0A27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81A6D"/>
    <w:rsid w:val="00D87355"/>
    <w:rsid w:val="00DA5F83"/>
    <w:rsid w:val="00DB4329"/>
    <w:rsid w:val="00DC1FAC"/>
    <w:rsid w:val="00DC36F6"/>
    <w:rsid w:val="00DC3B7A"/>
    <w:rsid w:val="00DD078B"/>
    <w:rsid w:val="00DD54D2"/>
    <w:rsid w:val="00DF1DE6"/>
    <w:rsid w:val="00DF43FF"/>
    <w:rsid w:val="00DF4EBB"/>
    <w:rsid w:val="00DF5902"/>
    <w:rsid w:val="00DF717A"/>
    <w:rsid w:val="00E00D56"/>
    <w:rsid w:val="00E05F83"/>
    <w:rsid w:val="00E10DBA"/>
    <w:rsid w:val="00E12112"/>
    <w:rsid w:val="00E16F5C"/>
    <w:rsid w:val="00E210A4"/>
    <w:rsid w:val="00E40143"/>
    <w:rsid w:val="00E6445F"/>
    <w:rsid w:val="00E67899"/>
    <w:rsid w:val="00E738AB"/>
    <w:rsid w:val="00E76704"/>
    <w:rsid w:val="00E92F80"/>
    <w:rsid w:val="00EA38C1"/>
    <w:rsid w:val="00EA406D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62E4E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E91946-6526-48CD-826C-FBA7973D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uiPriority w:val="99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Заголовок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,Раздел Договора Знак1,H1 Знак1,&quot;Алмаз&quot;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1a">
    <w:name w:val="Заголовок1"/>
    <w:basedOn w:val="a"/>
    <w:next w:val="a5"/>
    <w:uiPriority w:val="99"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b">
    <w:name w:val="Название1"/>
    <w:basedOn w:val="a"/>
    <w:uiPriority w:val="99"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c">
    <w:name w:val="Указатель1"/>
    <w:basedOn w:val="a"/>
    <w:uiPriority w:val="99"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0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1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d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2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3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uiPriority w:val="99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4">
    <w:name w:val="Strong"/>
    <w:uiPriority w:val="22"/>
    <w:qFormat/>
    <w:rsid w:val="006635DF"/>
    <w:rPr>
      <w:b/>
      <w:bCs/>
    </w:rPr>
  </w:style>
  <w:style w:type="paragraph" w:customStyle="1" w:styleId="1e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f">
    <w:name w:val="!Равноширинный текст документа1"/>
    <w:basedOn w:val="a"/>
    <w:next w:val="af9"/>
    <w:uiPriority w:val="9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0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94584"/>
  </w:style>
  <w:style w:type="table" w:customStyle="1" w:styleId="82">
    <w:name w:val="Сетка таблицы8"/>
    <w:basedOn w:val="a1"/>
    <w:next w:val="a4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0">
    <w:name w:val="Сетка таблицы32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rsid w:val="003945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59"/>
    <w:rsid w:val="00394584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1"/>
    <w:basedOn w:val="a1"/>
    <w:uiPriority w:val="59"/>
    <w:rsid w:val="00394584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39458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1">
    <w:name w:val="Сетка таблицы25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39458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39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4631c14b-6e7a-4c85-82ca-155cd020917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8193-93FF-4608-9F28-C74A799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Вера</cp:lastModifiedBy>
  <cp:revision>2</cp:revision>
  <cp:lastPrinted>2017-06-01T05:57:00Z</cp:lastPrinted>
  <dcterms:created xsi:type="dcterms:W3CDTF">2023-04-17T08:00:00Z</dcterms:created>
  <dcterms:modified xsi:type="dcterms:W3CDTF">2023-04-17T08:00:00Z</dcterms:modified>
</cp:coreProperties>
</file>